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right="4026"/>
        <w:jc w:val="center"/>
        <w:rPr>
          <w:b w:val="0"/>
          <w:bCs w:val="0"/>
        </w:rPr>
      </w:pPr>
      <w:r>
        <w:rPr/>
        <w:t>CAPÍTULO III</w:t>
      </w:r>
      <w:r>
        <w:rPr>
          <w:b w:val="0"/>
        </w:rPr>
      </w:r>
    </w:p>
    <w:p>
      <w:pPr>
        <w:spacing w:before="157"/>
        <w:ind w:left="3940" w:right="4026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z w:val="25"/>
        </w:rPr>
        <w:t> LA OBRA </w:t>
      </w:r>
      <w:r>
        <w:rPr>
          <w:rFonts w:ascii="Century Gothic" w:hAnsi="Century Gothic"/>
          <w:b/>
          <w:spacing w:val="-1"/>
          <w:sz w:val="25"/>
        </w:rPr>
        <w:t>PÚBLICA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pStyle w:val="BodyText"/>
        <w:spacing w:line="364" w:lineRule="auto" w:before="209"/>
        <w:ind w:left="242" w:right="352" w:firstLine="25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CUADRAGÉSIMO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SEGUNDO.-</w:t>
      </w:r>
      <w:r>
        <w:rPr>
          <w:rFonts w:ascii="Century Gothic" w:hAnsi="Century Gothic"/>
          <w:b/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efecto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artículo</w:t>
      </w:r>
      <w:r>
        <w:rPr>
          <w:spacing w:val="20"/>
        </w:rPr>
        <w:t> </w:t>
      </w:r>
      <w:r>
        <w:rPr>
          <w:spacing w:val="-1"/>
        </w:rPr>
        <w:t>59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Ley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Obras</w:t>
      </w:r>
      <w:r>
        <w:rPr>
          <w:spacing w:val="65"/>
        </w:rPr>
        <w:t> </w:t>
      </w:r>
      <w:r>
        <w:rPr>
          <w:spacing w:val="-1"/>
        </w:rPr>
        <w:t>Públicas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>
          <w:spacing w:val="-1"/>
        </w:rPr>
        <w:t>Servicios</w:t>
      </w:r>
      <w:r>
        <w:rPr>
          <w:spacing w:val="66"/>
        </w:rPr>
        <w:t> </w:t>
      </w:r>
      <w:r>
        <w:rPr>
          <w:spacing w:val="-1"/>
        </w:rPr>
        <w:t>Relacionados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>
          <w:spacing w:val="-1"/>
        </w:rPr>
        <w:t>las</w:t>
      </w:r>
      <w:r>
        <w:rPr>
          <w:spacing w:val="65"/>
        </w:rPr>
        <w:t> </w:t>
      </w:r>
      <w:r>
        <w:rPr>
          <w:spacing w:val="-1"/>
        </w:rPr>
        <w:t>Mismas</w:t>
      </w:r>
      <w:r>
        <w:rPr>
          <w:spacing w:val="66"/>
        </w:rPr>
        <w:t> </w:t>
      </w:r>
      <w:r>
        <w:rPr/>
        <w:t>del</w:t>
      </w:r>
      <w:r>
        <w:rPr>
          <w:spacing w:val="64"/>
        </w:rPr>
        <w:t> </w:t>
      </w:r>
      <w:r>
        <w:rPr>
          <w:spacing w:val="-1"/>
        </w:rPr>
        <w:t>Estado</w:t>
      </w:r>
      <w:r>
        <w:rPr>
          <w:spacing w:val="65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Chihuahua,</w:t>
      </w:r>
      <w:r>
        <w:rPr/>
        <w:t>  </w:t>
      </w:r>
      <w:r>
        <w:rPr>
          <w:spacing w:val="3"/>
        </w:rPr>
        <w:t> </w:t>
      </w:r>
      <w:r>
        <w:rPr/>
        <w:t>durante  </w:t>
      </w:r>
      <w:r>
        <w:rPr>
          <w:spacing w:val="6"/>
        </w:rPr>
        <w:t> </w:t>
      </w:r>
      <w:r>
        <w:rPr/>
        <w:t>el  </w:t>
      </w:r>
      <w:r>
        <w:rPr>
          <w:spacing w:val="6"/>
        </w:rPr>
        <w:t> </w:t>
      </w:r>
      <w:r>
        <w:rPr/>
        <w:t>ejercicio  </w:t>
      </w:r>
      <w:r>
        <w:rPr>
          <w:spacing w:val="6"/>
        </w:rPr>
        <w:t> </w:t>
      </w:r>
      <w:r>
        <w:rPr>
          <w:spacing w:val="-1"/>
        </w:rPr>
        <w:t>fiscal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2021,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 </w:t>
      </w:r>
      <w:r>
        <w:rPr>
          <w:spacing w:val="6"/>
        </w:rPr>
        <w:t> </w:t>
      </w:r>
      <w:r>
        <w:rPr/>
        <w:t>entes  </w:t>
      </w:r>
      <w:r>
        <w:rPr>
          <w:spacing w:val="6"/>
        </w:rPr>
        <w:t> </w:t>
      </w:r>
      <w:r>
        <w:rPr>
          <w:spacing w:val="-1"/>
        </w:rPr>
        <w:t>públicos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bajo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su</w:t>
      </w:r>
      <w:r>
        <w:rPr/>
      </w:r>
    </w:p>
    <w:p>
      <w:pPr>
        <w:spacing w:after="0" w:line="364" w:lineRule="auto"/>
        <w:jc w:val="both"/>
        <w:sectPr>
          <w:headerReference w:type="even" r:id="rId8"/>
          <w:headerReference w:type="default" r:id="rId9"/>
          <w:pgSz w:w="12240" w:h="15840"/>
          <w:pgMar w:header="1040" w:footer="0" w:top="1240" w:bottom="280" w:left="880" w:right="860"/>
          <w:pgNumType w:start="62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362" w:lineRule="auto" w:before="55"/>
        <w:ind w:left="354" w:right="225"/>
        <w:jc w:val="both"/>
      </w:pPr>
      <w:r>
        <w:rPr>
          <w:spacing w:val="-1"/>
        </w:rPr>
        <w:t>responsabilidad,</w:t>
      </w:r>
      <w:r>
        <w:rPr>
          <w:spacing w:val="33"/>
        </w:rPr>
        <w:t> </w:t>
      </w:r>
      <w:r>
        <w:rPr>
          <w:spacing w:val="-1"/>
        </w:rPr>
        <w:t>podrán</w:t>
      </w:r>
      <w:r>
        <w:rPr>
          <w:spacing w:val="36"/>
        </w:rPr>
        <w:t> </w:t>
      </w:r>
      <w:r>
        <w:rPr>
          <w:spacing w:val="-1"/>
        </w:rPr>
        <w:t>contratar</w:t>
      </w:r>
      <w:r>
        <w:rPr>
          <w:spacing w:val="36"/>
        </w:rPr>
        <w:t> </w:t>
      </w:r>
      <w:r>
        <w:rPr/>
        <w:t>obras</w:t>
      </w:r>
      <w:r>
        <w:rPr>
          <w:spacing w:val="35"/>
        </w:rPr>
        <w:t> </w:t>
      </w:r>
      <w:r>
        <w:rPr>
          <w:spacing w:val="-1"/>
        </w:rPr>
        <w:t>públicas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2"/>
        </w:rPr>
        <w:t>servicios</w:t>
      </w:r>
      <w:r>
        <w:rPr>
          <w:spacing w:val="36"/>
        </w:rPr>
        <w:t> </w:t>
      </w:r>
      <w:r>
        <w:rPr>
          <w:spacing w:val="-1"/>
        </w:rPr>
        <w:t>relacionados</w:t>
      </w:r>
      <w:r>
        <w:rPr>
          <w:spacing w:val="36"/>
        </w:rPr>
        <w:t> </w:t>
      </w:r>
      <w:r>
        <w:rPr/>
        <w:t>con</w:t>
      </w:r>
      <w:r>
        <w:rPr>
          <w:spacing w:val="83"/>
        </w:rPr>
        <w:t> </w:t>
      </w:r>
      <w:r>
        <w:rPr>
          <w:spacing w:val="-1"/>
        </w:rPr>
        <w:t>las</w:t>
      </w:r>
      <w:r>
        <w:rPr>
          <w:spacing w:val="67"/>
        </w:rPr>
        <w:t> </w:t>
      </w:r>
      <w:r>
        <w:rPr>
          <w:spacing w:val="-1"/>
        </w:rPr>
        <w:t>mismas,</w:t>
      </w:r>
      <w:r>
        <w:rPr>
          <w:spacing w:val="64"/>
        </w:rPr>
        <w:t> </w:t>
      </w:r>
      <w:r>
        <w:rPr/>
        <w:t>sin</w:t>
      </w:r>
      <w:r>
        <w:rPr>
          <w:spacing w:val="67"/>
        </w:rPr>
        <w:t> </w:t>
      </w:r>
      <w:r>
        <w:rPr>
          <w:spacing w:val="-1"/>
        </w:rPr>
        <w:t>sujetarse</w:t>
      </w:r>
      <w:r>
        <w:rPr>
          <w:spacing w:val="68"/>
        </w:rPr>
        <w:t> </w:t>
      </w:r>
      <w:r>
        <w:rPr>
          <w:spacing w:val="-1"/>
        </w:rPr>
        <w:t>al</w:t>
      </w:r>
      <w:r>
        <w:rPr>
          <w:spacing w:val="67"/>
        </w:rPr>
        <w:t>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licitación</w:t>
      </w:r>
      <w:r>
        <w:rPr>
          <w:spacing w:val="67"/>
        </w:rPr>
        <w:t> </w:t>
      </w:r>
      <w:r>
        <w:rPr>
          <w:spacing w:val="-1"/>
        </w:rPr>
        <w:t>pública,</w:t>
      </w:r>
      <w:r>
        <w:rPr>
          <w:spacing w:val="64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través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>
          <w:spacing w:val="-1"/>
        </w:rPr>
        <w:t>invitación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cuando</w:t>
      </w:r>
      <w:r>
        <w:rPr>
          <w:spacing w:val="11"/>
        </w:rPr>
        <w:t> </w:t>
      </w:r>
      <w:r>
        <w:rPr/>
        <w:t>menos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contratistas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adjudicación</w:t>
      </w:r>
      <w:r>
        <w:rPr>
          <w:spacing w:val="12"/>
        </w:rPr>
        <w:t> </w:t>
      </w:r>
      <w:r>
        <w:rPr>
          <w:spacing w:val="-1"/>
        </w:rPr>
        <w:t>directa,</w:t>
      </w:r>
      <w:r>
        <w:rPr>
          <w:spacing w:val="10"/>
        </w:rPr>
        <w:t> </w:t>
      </w:r>
      <w:r>
        <w:rPr>
          <w:spacing w:val="-1"/>
        </w:rPr>
        <w:t>cuando</w:t>
      </w:r>
      <w:r>
        <w:rPr>
          <w:spacing w:val="4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importe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/>
        <w:t>operaciones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>
          <w:spacing w:val="-1"/>
        </w:rPr>
        <w:t>exceda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10"/>
        </w:rPr>
        <w:t> </w:t>
      </w:r>
      <w:r>
        <w:rPr>
          <w:spacing w:val="-1"/>
        </w:rPr>
        <w:t>establecidos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43"/>
        </w:rPr>
        <w:t> </w:t>
      </w:r>
      <w:r>
        <w:rPr>
          <w:spacing w:val="-1"/>
        </w:rPr>
        <w:t>artículo.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54" w:right="227"/>
        <w:jc w:val="both"/>
      </w:pPr>
      <w:r>
        <w:rPr>
          <w:spacing w:val="-1"/>
        </w:rPr>
        <w:t>Por</w:t>
      </w:r>
      <w:r>
        <w:rPr>
          <w:spacing w:val="39"/>
        </w:rPr>
        <w:t> </w:t>
      </w:r>
      <w:r>
        <w:rPr>
          <w:spacing w:val="-1"/>
        </w:rPr>
        <w:t>lo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corresponde</w:t>
      </w:r>
      <w:r>
        <w:rPr>
          <w:spacing w:val="40"/>
        </w:rPr>
        <w:t> </w:t>
      </w:r>
      <w:r>
        <w:rPr>
          <w:spacing w:val="-1"/>
        </w:rPr>
        <w:t>al</w:t>
      </w:r>
      <w:r>
        <w:rPr>
          <w:spacing w:val="39"/>
        </w:rPr>
        <w:t> </w:t>
      </w:r>
      <w:r>
        <w:rPr>
          <w:spacing w:val="-1"/>
        </w:rPr>
        <w:t>Gobierno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Estado,</w:t>
      </w:r>
      <w:r>
        <w:rPr>
          <w:spacing w:val="38"/>
        </w:rPr>
        <w:t> </w:t>
      </w:r>
      <w:r>
        <w:rPr/>
        <w:t>sus</w:t>
      </w:r>
      <w:r>
        <w:rPr>
          <w:spacing w:val="40"/>
        </w:rPr>
        <w:t> </w:t>
      </w:r>
      <w:r>
        <w:rPr>
          <w:spacing w:val="-1"/>
        </w:rPr>
        <w:t>organismos</w:t>
      </w:r>
      <w:r>
        <w:rPr>
          <w:spacing w:val="39"/>
        </w:rPr>
        <w:t> </w:t>
      </w:r>
      <w:r>
        <w:rPr>
          <w:spacing w:val="-1"/>
        </w:rPr>
        <w:t>públicos</w:t>
      </w:r>
      <w:r>
        <w:rPr>
          <w:spacing w:val="35"/>
        </w:rPr>
        <w:t> </w:t>
      </w:r>
      <w:r>
        <w:rPr/>
        <w:t>descentralizados,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/>
        <w:t>empresas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participación</w:t>
      </w:r>
      <w:r>
        <w:rPr>
          <w:spacing w:val="8"/>
        </w:rPr>
        <w:t> </w:t>
      </w:r>
      <w:r>
        <w:rPr>
          <w:spacing w:val="-1"/>
        </w:rPr>
        <w:t>estatal</w:t>
      </w:r>
      <w:r>
        <w:rPr>
          <w:spacing w:val="8"/>
        </w:rPr>
        <w:t> </w:t>
      </w:r>
      <w:r>
        <w:rPr>
          <w:spacing w:val="-1"/>
        </w:rPr>
        <w:t>mayoritarias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43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fideicomitente: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362" w:lineRule="auto" w:before="174" w:after="0"/>
        <w:ind w:left="1110" w:right="227" w:hanging="519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podrá</w:t>
      </w:r>
      <w:r>
        <w:rPr>
          <w:spacing w:val="22"/>
        </w:rPr>
        <w:t> </w:t>
      </w:r>
      <w:r>
        <w:rPr>
          <w:spacing w:val="-1"/>
        </w:rPr>
        <w:t>adjudicar</w:t>
      </w:r>
      <w:r>
        <w:rPr>
          <w:spacing w:val="22"/>
        </w:rPr>
        <w:t> </w:t>
      </w:r>
      <w:r>
        <w:rPr/>
        <w:t>directamente</w:t>
      </w:r>
      <w:r>
        <w:rPr>
          <w:spacing w:val="21"/>
        </w:rPr>
        <w:t> </w:t>
      </w:r>
      <w:r>
        <w:rPr/>
        <w:t>cuando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monto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no</w:t>
      </w:r>
      <w:r>
        <w:rPr>
          <w:spacing w:val="25"/>
        </w:rPr>
        <w:t> </w:t>
      </w:r>
      <w:r>
        <w:rPr/>
        <w:t>exceda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80</w:t>
      </w:r>
      <w:r>
        <w:rPr>
          <w:spacing w:val="29"/>
        </w:rPr>
        <w:t> </w:t>
      </w:r>
      <w:r>
        <w:rPr/>
        <w:t>veces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Unidad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Medida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Actualización</w:t>
      </w:r>
      <w:r>
        <w:rPr>
          <w:spacing w:val="29"/>
        </w:rPr>
        <w:t> </w:t>
      </w:r>
      <w:r>
        <w:rPr>
          <w:spacing w:val="-1"/>
        </w:rPr>
        <w:t>vigente</w:t>
      </w:r>
      <w:r>
        <w:rPr>
          <w:spacing w:val="32"/>
        </w:rPr>
        <w:t> </w:t>
      </w:r>
      <w:r>
        <w:rPr>
          <w:spacing w:val="-1"/>
        </w:rPr>
        <w:t>elevada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año.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362" w:lineRule="auto" w:before="174" w:after="0"/>
        <w:ind w:left="1110" w:right="226" w:hanging="59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podrá</w:t>
      </w:r>
      <w:r>
        <w:rPr>
          <w:spacing w:val="12"/>
        </w:rPr>
        <w:t> </w:t>
      </w:r>
      <w:r>
        <w:rPr>
          <w:spacing w:val="-1"/>
        </w:rPr>
        <w:t>adjudicar</w:t>
      </w:r>
      <w:r>
        <w:rPr>
          <w:spacing w:val="12"/>
        </w:rPr>
        <w:t> </w:t>
      </w:r>
      <w:r>
        <w:rPr>
          <w:spacing w:val="-1"/>
        </w:rPr>
        <w:t>bajo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procedimiento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invitación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cuando</w:t>
      </w:r>
      <w:r>
        <w:rPr>
          <w:spacing w:val="12"/>
        </w:rPr>
        <w:t> </w:t>
      </w:r>
      <w:r>
        <w:rPr/>
        <w:t>menos</w:t>
      </w:r>
      <w:r>
        <w:rPr>
          <w:spacing w:val="49"/>
        </w:rPr>
        <w:t> </w:t>
      </w:r>
      <w:r>
        <w:rPr/>
        <w:t>tres</w:t>
      </w:r>
      <w:r>
        <w:rPr>
          <w:spacing w:val="3"/>
        </w:rPr>
        <w:t> </w:t>
      </w:r>
      <w:r>
        <w:rPr/>
        <w:t>contratistas,</w:t>
      </w:r>
      <w:r>
        <w:rPr>
          <w:spacing w:val="2"/>
        </w:rPr>
        <w:t> </w:t>
      </w: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monto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contrato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ubique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80</w:t>
      </w:r>
      <w:r>
        <w:rPr>
          <w:spacing w:val="43"/>
        </w:rPr>
        <w:t> </w:t>
      </w:r>
      <w:r>
        <w:rPr/>
        <w:t>y</w:t>
      </w:r>
      <w:r>
        <w:rPr>
          <w:spacing w:val="20"/>
        </w:rPr>
        <w:t> </w:t>
      </w:r>
      <w:r>
        <w:rPr/>
        <w:t>hasta</w:t>
      </w:r>
      <w:r>
        <w:rPr>
          <w:spacing w:val="19"/>
        </w:rPr>
        <w:t> </w:t>
      </w:r>
      <w:r>
        <w:rPr>
          <w:spacing w:val="-1"/>
        </w:rPr>
        <w:t>110</w:t>
      </w:r>
      <w:r>
        <w:rPr>
          <w:spacing w:val="20"/>
        </w:rPr>
        <w:t> </w:t>
      </w:r>
      <w:r>
        <w:rPr>
          <w:spacing w:val="-1"/>
        </w:rPr>
        <w:t>veces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Unidad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Medida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Actualización</w:t>
      </w:r>
      <w:r>
        <w:rPr>
          <w:spacing w:val="17"/>
        </w:rPr>
        <w:t> </w:t>
      </w:r>
      <w:r>
        <w:rPr/>
        <w:t>vigente</w:t>
      </w:r>
      <w:r>
        <w:rPr>
          <w:spacing w:val="20"/>
        </w:rPr>
        <w:t> </w:t>
      </w:r>
      <w:r>
        <w:rPr/>
        <w:t>elevada</w:t>
      </w:r>
      <w:r>
        <w:rPr>
          <w:spacing w:val="37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año</w:t>
      </w:r>
      <w:r>
        <w:rPr/>
        <w:t> </w:t>
      </w:r>
      <w:r>
        <w:rPr>
          <w:spacing w:val="-1"/>
        </w:rPr>
        <w:t>(Decreto</w:t>
      </w:r>
      <w:r>
        <w:rPr/>
        <w:t> No.</w:t>
      </w:r>
      <w:r>
        <w:rPr>
          <w:spacing w:val="-1"/>
        </w:rPr>
        <w:t> LXV/EXLEY/0891/2018</w:t>
      </w:r>
      <w:r>
        <w:rPr>
          <w:spacing w:val="1"/>
        </w:rPr>
        <w:t> </w:t>
      </w:r>
      <w:r>
        <w:rPr/>
        <w:t>XVIII </w:t>
      </w:r>
      <w:r>
        <w:rPr>
          <w:spacing w:val="-1"/>
        </w:rPr>
        <w:t>P.E.).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363" w:lineRule="auto" w:before="174" w:after="0"/>
        <w:ind w:left="1110" w:right="229" w:hanging="660"/>
        <w:jc w:val="both"/>
      </w:pPr>
      <w:r>
        <w:rPr/>
        <w:t>Los</w:t>
      </w:r>
      <w:r>
        <w:rPr>
          <w:spacing w:val="2"/>
        </w:rPr>
        <w:t> </w:t>
      </w:r>
      <w:r>
        <w:rPr/>
        <w:t>montos</w:t>
      </w:r>
      <w:r>
        <w:rPr>
          <w:spacing w:val="2"/>
        </w:rPr>
        <w:t> </w:t>
      </w:r>
      <w:r>
        <w:rPr>
          <w:spacing w:val="-1"/>
        </w:rPr>
        <w:t>previstos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fracciones</w:t>
      </w:r>
      <w:r>
        <w:rPr>
          <w:spacing w:val="2"/>
        </w:rPr>
        <w:t> </w:t>
      </w:r>
      <w:r>
        <w:rPr>
          <w:spacing w:val="-1"/>
        </w:rPr>
        <w:t>anteriores</w:t>
      </w:r>
      <w:r>
        <w:rPr>
          <w:spacing w:val="2"/>
        </w:rPr>
        <w:t> </w:t>
      </w:r>
      <w:r>
        <w:rPr>
          <w:spacing w:val="-1"/>
        </w:rPr>
        <w:t>serán</w:t>
      </w:r>
      <w:r>
        <w:rPr>
          <w:spacing w:val="3"/>
        </w:rPr>
        <w:t> </w:t>
      </w:r>
      <w:r>
        <w:rPr>
          <w:spacing w:val="-1"/>
        </w:rPr>
        <w:t>aplicables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demás</w:t>
      </w:r>
      <w:r>
        <w:rPr/>
        <w:t> entes </w:t>
      </w:r>
      <w:r>
        <w:rPr>
          <w:spacing w:val="-1"/>
        </w:rPr>
        <w:t>públicos,</w:t>
      </w:r>
      <w:r>
        <w:rPr>
          <w:spacing w:val="-3"/>
        </w:rPr>
        <w:t> </w:t>
      </w:r>
      <w:r>
        <w:rPr/>
        <w:t>con </w:t>
      </w:r>
      <w:r>
        <w:rPr>
          <w:spacing w:val="-1"/>
        </w:rPr>
        <w:t>excepción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Municipios.</w:t>
      </w:r>
      <w:r>
        <w:rPr/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036" w:val="left" w:leader="none"/>
        </w:tabs>
        <w:spacing w:line="362" w:lineRule="auto" w:before="55" w:after="0"/>
        <w:ind w:left="1048" w:right="326" w:hanging="696"/>
        <w:jc w:val="both"/>
      </w:pPr>
      <w:r>
        <w:rPr>
          <w:spacing w:val="-1"/>
        </w:rPr>
        <w:t>Tratándose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>
          <w:spacing w:val="-1"/>
        </w:rPr>
        <w:t>Municipios,</w:t>
      </w:r>
      <w:r>
        <w:rPr>
          <w:spacing w:val="54"/>
        </w:rPr>
        <w:t> </w:t>
      </w:r>
      <w:r>
        <w:rPr>
          <w:spacing w:val="-1"/>
        </w:rPr>
        <w:t>sus</w:t>
      </w:r>
      <w:r>
        <w:rPr>
          <w:spacing w:val="55"/>
        </w:rPr>
        <w:t> </w:t>
      </w:r>
      <w:r>
        <w:rPr>
          <w:spacing w:val="-1"/>
        </w:rPr>
        <w:t>organismos</w:t>
      </w:r>
      <w:r>
        <w:rPr>
          <w:spacing w:val="55"/>
        </w:rPr>
        <w:t> </w:t>
      </w:r>
      <w:r>
        <w:rPr>
          <w:spacing w:val="-1"/>
        </w:rPr>
        <w:t>públicos</w:t>
      </w:r>
      <w:r>
        <w:rPr>
          <w:spacing w:val="54"/>
        </w:rPr>
        <w:t> </w:t>
      </w:r>
      <w:r>
        <w:rPr/>
        <w:t>descentralizados,</w:t>
      </w:r>
      <w:r>
        <w:rPr>
          <w:spacing w:val="49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empresas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participación</w:t>
      </w:r>
      <w:r>
        <w:rPr>
          <w:spacing w:val="17"/>
        </w:rPr>
        <w:t> </w:t>
      </w:r>
      <w:r>
        <w:rPr/>
        <w:t>municipal</w:t>
      </w:r>
      <w:r>
        <w:rPr>
          <w:spacing w:val="17"/>
        </w:rPr>
        <w:t> </w:t>
      </w:r>
      <w:r>
        <w:rPr>
          <w:spacing w:val="-1"/>
        </w:rPr>
        <w:t>mayoritaria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fideicomisos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66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>
          <w:spacing w:val="-1"/>
        </w:rPr>
        <w:t>Municipios</w:t>
      </w:r>
      <w:r>
        <w:rPr>
          <w:spacing w:val="41"/>
        </w:rPr>
        <w:t> </w:t>
      </w:r>
      <w:r>
        <w:rPr/>
        <w:t>tengan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carácter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Fideicomitentes</w:t>
      </w:r>
      <w:r>
        <w:rPr>
          <w:spacing w:val="39"/>
        </w:rPr>
        <w:t> </w:t>
      </w:r>
      <w:r>
        <w:rPr>
          <w:spacing w:val="-1"/>
        </w:rPr>
        <w:t>serán</w:t>
      </w:r>
      <w:r>
        <w:rPr>
          <w:spacing w:val="32"/>
        </w:rPr>
        <w:t> </w:t>
      </w:r>
      <w:r>
        <w:rPr>
          <w:spacing w:val="-1"/>
        </w:rPr>
        <w:t>aplicables los</w:t>
      </w:r>
      <w:r>
        <w:rPr/>
        <w:t> </w:t>
      </w:r>
      <w:r>
        <w:rPr>
          <w:spacing w:val="-1"/>
        </w:rPr>
        <w:t>siguientes montos: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1473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b/>
                <w:sz w:val="25"/>
              </w:rPr>
              <w:t>GRUPO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b/>
                <w:sz w:val="25"/>
              </w:rPr>
              <w:t>MUNICIPIOS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78" w:lineRule="auto"/>
              <w:ind w:left="805" w:right="341" w:hanging="464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</w:rPr>
              <w:t>ADJUDICACIÓN </w:t>
            </w:r>
            <w:r>
              <w:rPr>
                <w:rFonts w:ascii="Century Gothic" w:hAnsi="Century Gothic"/>
                <w:b/>
                <w:spacing w:val="-1"/>
                <w:sz w:val="25"/>
              </w:rPr>
              <w:t>DIRECTA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42"/>
              <w:ind w:left="198" w:right="198" w:hanging="1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</w:rPr>
              <w:t>INVITACIÓN A CUANDO MENOS TRES CONTRATISTAS</w:t>
            </w:r>
            <w:r>
              <w:rPr>
                <w:rFonts w:ascii="Century Gothic" w:hAnsi="Century Gothic"/>
                <w:sz w:val="25"/>
              </w:rPr>
            </w:r>
          </w:p>
        </w:tc>
      </w:tr>
      <w:tr>
        <w:trPr>
          <w:trHeight w:val="2328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z w:val="25"/>
              </w:rPr>
              <w:t>I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Juárez </w:t>
            </w:r>
            <w:r>
              <w:rPr>
                <w:rFonts w:ascii="Century Gothic" w:hAnsi="Century Gothic"/>
                <w:sz w:val="25"/>
              </w:rPr>
              <w:t>y</w:t>
            </w:r>
            <w:r>
              <w:rPr>
                <w:rFonts w:ascii="Century Gothic" w:hAnsi="Century Gothic"/>
                <w:spacing w:val="-1"/>
                <w:sz w:val="25"/>
              </w:rPr>
              <w:t> Chihuahua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1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55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1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55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 </w:t>
            </w:r>
            <w:r>
              <w:rPr>
                <w:rFonts w:ascii="Century Gothic" w:hAnsi="Century Gothic"/>
                <w:spacing w:val="-1"/>
                <w:sz w:val="25"/>
              </w:rPr>
              <w:t>90x365</w:t>
            </w:r>
          </w:p>
        </w:tc>
      </w:tr>
      <w:tr>
        <w:trPr>
          <w:trHeight w:val="3718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pacing w:val="-1"/>
                <w:sz w:val="25"/>
              </w:rPr>
              <w:t>II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06" w:right="509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Delicias,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Cuauhtémoc,</w:t>
            </w:r>
            <w:r>
              <w:rPr>
                <w:rFonts w:ascii="Century Gothic" w:hAnsi="Century Gothic"/>
                <w:spacing w:val="3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Hidalgo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del Parral,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Guadalupe</w:t>
            </w:r>
            <w:r>
              <w:rPr>
                <w:rFonts w:ascii="Century Gothic" w:hAnsi="Century Gothic"/>
                <w:sz w:val="25"/>
              </w:rPr>
              <w:t> y Calvo,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Nuevo</w:t>
            </w:r>
            <w:r>
              <w:rPr>
                <w:rFonts w:ascii="Century Gothic" w:hAnsi="Century Gothic"/>
                <w:sz w:val="25"/>
              </w:rPr>
              <w:t> Casas </w:t>
            </w:r>
            <w:r>
              <w:rPr>
                <w:rFonts w:ascii="Century Gothic" w:hAnsi="Century Gothic"/>
                <w:spacing w:val="-1"/>
                <w:sz w:val="25"/>
              </w:rPr>
              <w:t>Grandes,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Camargo,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Guachochi,</w:t>
            </w:r>
            <w:r>
              <w:rPr>
                <w:rFonts w:ascii="Century Gothic" w:hAnsi="Century Gothic"/>
                <w:spacing w:val="3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Guerrero,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Madera,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Bocoyna, </w:t>
            </w:r>
            <w:r>
              <w:rPr>
                <w:rFonts w:ascii="Century Gothic" w:hAnsi="Century Gothic"/>
                <w:sz w:val="25"/>
              </w:rPr>
              <w:t>Jiménez,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Meoqui</w:t>
            </w:r>
            <w:r>
              <w:rPr>
                <w:rFonts w:ascii="Century Gothic" w:hAnsi="Century Gothic"/>
                <w:spacing w:val="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y </w:t>
            </w:r>
            <w:r>
              <w:rPr>
                <w:rFonts w:ascii="Century Gothic" w:hAnsi="Century Gothic"/>
                <w:spacing w:val="-1"/>
                <w:sz w:val="25"/>
              </w:rPr>
              <w:t>Saucillo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40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40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50X365</w:t>
            </w:r>
            <w:r>
              <w:rPr>
                <w:rFonts w:ascii="Century Gothic" w:hAnsi="Century Gothic"/>
                <w:sz w:val="25"/>
              </w:rPr>
            </w:r>
          </w:p>
        </w:tc>
      </w:tr>
    </w:tbl>
    <w:p>
      <w:pPr>
        <w:spacing w:after="0" w:line="362" w:lineRule="auto"/>
        <w:jc w:val="center"/>
        <w:rPr>
          <w:rFonts w:ascii="Century Gothic" w:hAnsi="Century Gothic" w:cs="Century Gothic" w:eastAsia="Century Gothic"/>
          <w:sz w:val="25"/>
          <w:szCs w:val="25"/>
        </w:rPr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10207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z w:val="25"/>
              </w:rPr>
              <w:t>III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06" w:right="113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Ahumada, </w:t>
            </w:r>
            <w:r>
              <w:rPr>
                <w:rFonts w:ascii="Century Gothic" w:hAnsi="Century Gothic"/>
                <w:sz w:val="25"/>
              </w:rPr>
              <w:t>Aldama,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Ascensión,</w:t>
            </w:r>
            <w:r>
              <w:rPr>
                <w:rFonts w:ascii="Century Gothic" w:hAnsi="Century Gothic"/>
                <w:spacing w:val="-1"/>
                <w:sz w:val="25"/>
              </w:rPr>
              <w:t> Balleza,</w:t>
            </w:r>
            <w:r>
              <w:rPr>
                <w:rFonts w:ascii="Century Gothic" w:hAnsi="Century Gothic"/>
                <w:spacing w:val="2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Batopilas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-1"/>
                <w:sz w:val="25"/>
              </w:rPr>
              <w:t> Manuel</w:t>
            </w:r>
            <w:r>
              <w:rPr>
                <w:rFonts w:ascii="Century Gothic" w:hAnsi="Century Gothic"/>
                <w:spacing w:val="2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Gómez</w:t>
            </w:r>
            <w:r>
              <w:rPr>
                <w:rFonts w:ascii="Century Gothic" w:hAnsi="Century Gothic"/>
                <w:sz w:val="25"/>
              </w:rPr>
              <w:t> Morín,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Buenaventura,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Santa</w:t>
            </w:r>
            <w:r>
              <w:rPr>
                <w:rFonts w:ascii="Century Gothic" w:hAnsi="Century Gothic"/>
                <w:spacing w:val="3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Bárbara,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Ojinaga,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Namiquipa,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Urique,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Coronado, </w:t>
            </w:r>
            <w:r>
              <w:rPr>
                <w:rFonts w:ascii="Century Gothic" w:hAnsi="Century Gothic"/>
                <w:sz w:val="25"/>
              </w:rPr>
              <w:t>Guadalupe,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Morelos,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Carichí,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Rosales,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Uruachi,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San </w:t>
            </w:r>
            <w:r>
              <w:rPr>
                <w:rFonts w:ascii="Century Gothic" w:hAnsi="Century Gothic"/>
                <w:spacing w:val="-1"/>
                <w:sz w:val="25"/>
              </w:rPr>
              <w:t>Francisco</w:t>
            </w:r>
            <w:r>
              <w:rPr>
                <w:rFonts w:ascii="Century Gothic" w:hAnsi="Century Gothic"/>
                <w:sz w:val="25"/>
              </w:rPr>
              <w:t> del</w:t>
            </w:r>
            <w:r>
              <w:rPr>
                <w:rFonts w:ascii="Century Gothic" w:hAnsi="Century Gothic"/>
                <w:spacing w:val="30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Oro,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Guazapares,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Ocampo, </w:t>
            </w:r>
            <w:r>
              <w:rPr>
                <w:rFonts w:ascii="Century Gothic" w:hAnsi="Century Gothic"/>
                <w:sz w:val="25"/>
              </w:rPr>
              <w:t>Riva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Palacio,</w:t>
            </w:r>
            <w:r>
              <w:rPr>
                <w:rFonts w:ascii="Century Gothic" w:hAnsi="Century Gothic"/>
                <w:spacing w:val="2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Allende,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Casas Grandes,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Janos,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Temósachic,</w:t>
            </w:r>
            <w:r>
              <w:rPr>
                <w:rFonts w:ascii="Century Gothic" w:hAnsi="Century Gothic"/>
                <w:spacing w:val="3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Chínipas,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Gómez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Farías,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Praxedis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G.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Guerrero,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Ignacio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Zaragoza,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Bachíniva,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Cusihuiriachi,</w:t>
            </w:r>
            <w:r>
              <w:rPr>
                <w:rFonts w:ascii="Century Gothic" w:hAnsi="Century Gothic"/>
                <w:spacing w:val="3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Valle de Zaragoza,</w:t>
            </w:r>
            <w:r>
              <w:rPr>
                <w:rFonts w:ascii="Century Gothic" w:hAnsi="Century Gothic"/>
                <w:spacing w:val="29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Aquiles </w:t>
            </w:r>
            <w:r>
              <w:rPr>
                <w:rFonts w:ascii="Century Gothic" w:hAnsi="Century Gothic"/>
                <w:spacing w:val="-1"/>
                <w:sz w:val="25"/>
              </w:rPr>
              <w:t>Serdán,</w:t>
            </w:r>
            <w:r>
              <w:rPr>
                <w:rFonts w:ascii="Century Gothic" w:hAnsi="Century Gothic"/>
                <w:spacing w:val="-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Satevó,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Moris,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López,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Santa Isabel,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Julimes,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Matamoros,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30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30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40X365</w:t>
            </w:r>
            <w:r>
              <w:rPr>
                <w:rFonts w:ascii="Century Gothic" w:hAnsi="Century Gothic"/>
                <w:sz w:val="25"/>
              </w:rPr>
            </w:r>
          </w:p>
        </w:tc>
      </w:tr>
    </w:tbl>
    <w:p>
      <w:pPr>
        <w:spacing w:after="0" w:line="362" w:lineRule="auto"/>
        <w:jc w:val="center"/>
        <w:rPr>
          <w:rFonts w:ascii="Century Gothic" w:hAnsi="Century Gothic" w:cs="Century Gothic" w:eastAsia="Century Gothic"/>
          <w:sz w:val="25"/>
          <w:szCs w:val="25"/>
        </w:rPr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4646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3" w:lineRule="auto"/>
              <w:ind w:left="106" w:right="351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Nonoava,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</w:t>
            </w:r>
            <w:r>
              <w:rPr>
                <w:rFonts w:ascii="Century Gothic" w:hAnsi="Century Gothic"/>
                <w:sz w:val="25"/>
              </w:rPr>
              <w:t> Francisco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 Conchos,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Matachí,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Galeana,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La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Cruz,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Coyame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del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Sotol,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Dr.</w:t>
            </w:r>
          </w:p>
          <w:p>
            <w:pPr>
              <w:pStyle w:val="TableParagraph"/>
              <w:spacing w:line="363" w:lineRule="auto" w:before="3"/>
              <w:ind w:left="106" w:right="112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Belisario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Domínguez,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Manuel </w:t>
            </w:r>
            <w:r>
              <w:rPr>
                <w:rFonts w:ascii="Century Gothic" w:hAnsi="Century Gothic"/>
                <w:spacing w:val="-1"/>
                <w:sz w:val="25"/>
              </w:rPr>
              <w:t>Benavides, Gran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Morelos,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Rosario,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Maguarichi,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Francisco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 Borja,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Huejotitán </w:t>
            </w:r>
            <w:r>
              <w:rPr>
                <w:rFonts w:ascii="Century Gothic" w:hAnsi="Century Gothic"/>
                <w:sz w:val="25"/>
              </w:rPr>
              <w:t>y El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Tule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62" w:lineRule="auto" w:before="0"/>
        <w:ind w:left="264" w:right="355"/>
        <w:jc w:val="both"/>
      </w:pPr>
      <w:r>
        <w:rPr/>
        <w:t>Los</w:t>
      </w:r>
      <w:r>
        <w:rPr>
          <w:spacing w:val="28"/>
        </w:rPr>
        <w:t> </w:t>
      </w:r>
      <w:r>
        <w:rPr/>
        <w:t>montos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resulten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fórmulas</w:t>
      </w:r>
      <w:r>
        <w:rPr>
          <w:spacing w:val="29"/>
        </w:rPr>
        <w:t> </w:t>
      </w:r>
      <w:r>
        <w:rPr>
          <w:spacing w:val="-1"/>
        </w:rPr>
        <w:t>anteriores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8"/>
        </w:rPr>
        <w:t> </w:t>
      </w:r>
      <w:r>
        <w:rPr/>
        <w:t>considerarán</w:t>
      </w:r>
      <w:r>
        <w:rPr>
          <w:spacing w:val="28"/>
        </w:rPr>
        <w:t> </w:t>
      </w:r>
      <w:r>
        <w:rPr>
          <w:spacing w:val="-1"/>
        </w:rPr>
        <w:t>sin</w:t>
      </w:r>
      <w:r>
        <w:rPr>
          <w:spacing w:val="28"/>
        </w:rPr>
        <w:t> </w:t>
      </w:r>
      <w:r>
        <w:rPr/>
        <w:t>incluir</w:t>
      </w:r>
      <w:r>
        <w:rPr>
          <w:spacing w:val="28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Valor</w:t>
      </w:r>
      <w:r>
        <w:rPr>
          <w:spacing w:val="1"/>
        </w:rPr>
        <w:t> </w:t>
      </w:r>
      <w:r>
        <w:rPr/>
        <w:t>Agregado.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175"/>
        <w:ind w:left="264" w:right="356"/>
        <w:jc w:val="both"/>
      </w:pP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obras</w:t>
      </w:r>
      <w:r>
        <w:rPr>
          <w:spacing w:val="3"/>
        </w:rPr>
        <w:t> </w:t>
      </w:r>
      <w:r>
        <w:rPr>
          <w:spacing w:val="-1"/>
        </w:rPr>
        <w:t>públicas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spacing w:val="-1"/>
        </w:rPr>
        <w:t>relacionados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/>
        <w:t>mismas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podrán</w:t>
      </w:r>
      <w:r>
        <w:rPr>
          <w:spacing w:val="41"/>
        </w:rPr>
        <w:t> </w:t>
      </w:r>
      <w:r>
        <w:rPr>
          <w:spacing w:val="-1"/>
        </w:rPr>
        <w:t>fraccionarse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quedar</w:t>
      </w:r>
      <w:r>
        <w:rPr>
          <w:spacing w:val="23"/>
        </w:rPr>
        <w:t> </w:t>
      </w:r>
      <w:r>
        <w:rPr>
          <w:spacing w:val="-1"/>
        </w:rPr>
        <w:t>comprendidas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supuestos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excepción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este</w:t>
      </w:r>
      <w:r>
        <w:rPr>
          <w:spacing w:val="13"/>
        </w:rPr>
        <w:t> </w:t>
      </w:r>
      <w:r>
        <w:rPr>
          <w:spacing w:val="-1"/>
        </w:rPr>
        <w:t>artículo;</w:t>
      </w:r>
      <w:r>
        <w:rPr>
          <w:spacing w:val="10"/>
        </w:rPr>
        <w:t> </w:t>
      </w:r>
      <w:r>
        <w:rPr/>
        <w:t>entendiéndose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fraccionar</w:t>
      </w:r>
      <w:r>
        <w:rPr>
          <w:spacing w:val="13"/>
        </w:rPr>
        <w:t> </w:t>
      </w:r>
      <w:r>
        <w:rPr>
          <w:spacing w:val="-1"/>
        </w:rPr>
        <w:t>cuando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obra</w:t>
      </w:r>
      <w:r>
        <w:rPr>
          <w:spacing w:val="13"/>
        </w:rPr>
        <w:t> </w:t>
      </w:r>
      <w:r>
        <w:rPr>
          <w:spacing w:val="-1"/>
        </w:rPr>
        <w:t>pública</w:t>
      </w:r>
      <w:r>
        <w:rPr>
          <w:spacing w:val="41"/>
        </w:rPr>
        <w:t> </w:t>
      </w:r>
      <w:r>
        <w:rPr/>
        <w:t>o</w:t>
      </w:r>
      <w:r>
        <w:rPr>
          <w:spacing w:val="64"/>
        </w:rPr>
        <w:t> </w:t>
      </w:r>
      <w:r>
        <w:rPr>
          <w:spacing w:val="-1"/>
        </w:rPr>
        <w:t>servicio</w:t>
      </w:r>
      <w:r>
        <w:rPr>
          <w:spacing w:val="64"/>
        </w:rPr>
        <w:t> </w:t>
      </w:r>
      <w:r>
        <w:rPr>
          <w:spacing w:val="-1"/>
        </w:rPr>
        <w:t>relacionado</w:t>
      </w:r>
      <w:r>
        <w:rPr>
          <w:spacing w:val="64"/>
        </w:rPr>
        <w:t> </w:t>
      </w:r>
      <w:r>
        <w:rPr/>
        <w:t>con</w:t>
      </w:r>
      <w:r>
        <w:rPr>
          <w:spacing w:val="65"/>
        </w:rPr>
        <w:t> </w:t>
      </w:r>
      <w:r>
        <w:rPr>
          <w:spacing w:val="-1"/>
        </w:rPr>
        <w:t>la</w:t>
      </w:r>
      <w:r>
        <w:rPr>
          <w:spacing w:val="64"/>
        </w:rPr>
        <w:t> </w:t>
      </w:r>
      <w:r>
        <w:rPr/>
        <w:t>misma</w:t>
      </w:r>
      <w:r>
        <w:rPr>
          <w:spacing w:val="64"/>
        </w:rPr>
        <w:t> </w:t>
      </w:r>
      <w:r>
        <w:rPr/>
        <w:t>que</w:t>
      </w:r>
      <w:r>
        <w:rPr>
          <w:spacing w:val="65"/>
        </w:rPr>
        <w:t> </w:t>
      </w:r>
      <w:r>
        <w:rPr/>
        <w:t>integre</w:t>
      </w:r>
      <w:r>
        <w:rPr>
          <w:spacing w:val="65"/>
        </w:rPr>
        <w:t> </w:t>
      </w:r>
      <w:r>
        <w:rPr/>
        <w:t>un</w:t>
      </w:r>
      <w:r>
        <w:rPr>
          <w:spacing w:val="65"/>
        </w:rPr>
        <w:t> </w:t>
      </w:r>
      <w:r>
        <w:rPr>
          <w:spacing w:val="-1"/>
        </w:rPr>
        <w:t>todo,</w:t>
      </w:r>
      <w:r>
        <w:rPr>
          <w:spacing w:val="62"/>
        </w:rPr>
        <w:t> </w:t>
      </w:r>
      <w:r>
        <w:rPr>
          <w:spacing w:val="-1"/>
        </w:rPr>
        <w:t>se</w:t>
      </w:r>
      <w:r>
        <w:rPr>
          <w:spacing w:val="65"/>
        </w:rPr>
        <w:t> </w:t>
      </w:r>
      <w:r>
        <w:rPr>
          <w:spacing w:val="-1"/>
        </w:rPr>
        <w:t>desintegre</w:t>
      </w:r>
      <w:r>
        <w:rPr>
          <w:spacing w:val="66"/>
        </w:rPr>
        <w:t> </w:t>
      </w:r>
      <w:r>
        <w:rPr/>
        <w:t>en</w:t>
      </w:r>
      <w:r>
        <w:rPr>
          <w:spacing w:val="35"/>
        </w:rPr>
        <w:t> </w:t>
      </w:r>
      <w:r>
        <w:rPr/>
        <w:t>etapas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spacing w:val="-1"/>
        </w:rPr>
        <w:t>dividir</w:t>
      </w:r>
      <w:r>
        <w:rPr>
          <w:spacing w:val="44"/>
        </w:rPr>
        <w:t> </w:t>
      </w:r>
      <w:r>
        <w:rPr/>
        <w:t>su</w:t>
      </w:r>
      <w:r>
        <w:rPr>
          <w:spacing w:val="47"/>
        </w:rPr>
        <w:t> </w:t>
      </w:r>
      <w:r>
        <w:rPr/>
        <w:t>costo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montos</w:t>
      </w:r>
      <w:r>
        <w:rPr>
          <w:spacing w:val="46"/>
        </w:rPr>
        <w:t> </w:t>
      </w:r>
      <w:r>
        <w:rPr/>
        <w:t>más</w:t>
      </w:r>
      <w:r>
        <w:rPr>
          <w:spacing w:val="47"/>
        </w:rPr>
        <w:t> </w:t>
      </w:r>
      <w:r>
        <w:rPr>
          <w:spacing w:val="-1"/>
        </w:rPr>
        <w:t>pequeños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ubiquen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hipótesis</w:t>
      </w:r>
      <w:r>
        <w:rPr/>
        <w:t> </w:t>
      </w:r>
      <w:r>
        <w:rPr>
          <w:spacing w:val="-1"/>
        </w:rPr>
        <w:t>de</w:t>
      </w:r>
      <w:r>
        <w:rPr/>
        <w:t> este</w:t>
      </w:r>
      <w:r>
        <w:rPr>
          <w:spacing w:val="-1"/>
        </w:rPr>
        <w:t> artículo.</w:t>
      </w:r>
      <w:r>
        <w:rPr/>
      </w:r>
    </w:p>
    <w:sectPr>
      <w:pgSz w:w="12240" w:h="15840"/>
      <w:pgMar w:header="1040" w:footer="0" w:top="124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416401pt;margin-top:50.995953pt;width:516.9500pt;height:12.1pt;mso-position-horizontal-relative:page;mso-position-vertical-relative:page;z-index:-7816" type="#_x0000_t202" filled="false" stroked="false">
          <v:textbox inset="0,0,0,0">
            <w:txbxContent>
              <w:p>
                <w:pPr>
                  <w:tabs>
                    <w:tab w:pos="591" w:val="left" w:leader="none"/>
                    <w:tab w:pos="7372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5.0500pt;height:12.35pt;mso-position-horizontal-relative:page;mso-position-vertical-relative:page;z-index:-7792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10" w:hanging="507"/>
        <w:jc w:val="righ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1">
      <w:start w:val="1"/>
      <w:numFmt w:val="bullet"/>
      <w:lvlText w:val="•"/>
      <w:lvlJc w:val="left"/>
      <w:pPr>
        <w:ind w:left="2045" w:hanging="5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5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4"/>
      <w:ind w:left="1110"/>
    </w:pPr>
    <w:rPr>
      <w:rFonts w:ascii="Century Gothic" w:hAnsi="Century Gothic" w:eastAsia="Century Gothic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55"/>
      <w:ind w:left="3940"/>
      <w:outlineLvl w:val="1"/>
    </w:pPr>
    <w:rPr>
      <w:rFonts w:ascii="Century Gothic" w:hAnsi="Century Gothic" w:eastAsia="Century Gothic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2021-02-22T10:02:22Z</dcterms:created>
  <dcterms:modified xsi:type="dcterms:W3CDTF">2021-02-22T10:02:22Z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2021-02-22T00:00:00Z</vt:filetime>
  </property>
</Properties>
</file>