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7926" w14:textId="77777777" w:rsidR="00BC6ADF" w:rsidRPr="00511365" w:rsidRDefault="00BC6ADF" w:rsidP="00621271">
      <w:pPr>
        <w:pStyle w:val="Sinespaciado"/>
        <w:jc w:val="center"/>
        <w:rPr>
          <w:rFonts w:cstheme="minorHAnsi"/>
          <w:b/>
          <w:bCs/>
          <w:u w:val="single"/>
        </w:rPr>
      </w:pPr>
      <w:r w:rsidRPr="00511365">
        <w:rPr>
          <w:rFonts w:cstheme="minorHAnsi"/>
          <w:b/>
          <w:bCs/>
          <w:u w:val="single"/>
        </w:rPr>
        <w:t>Anexo C</w:t>
      </w:r>
    </w:p>
    <w:p w14:paraId="25F6E5BC" w14:textId="77777777" w:rsidR="001F755A" w:rsidRPr="00511365" w:rsidRDefault="001F755A" w:rsidP="00621271">
      <w:pPr>
        <w:pStyle w:val="Sinespaciado"/>
        <w:jc w:val="center"/>
        <w:rPr>
          <w:rFonts w:cstheme="minorHAnsi"/>
          <w:u w:val="single"/>
        </w:rPr>
      </w:pPr>
    </w:p>
    <w:p w14:paraId="3971A090" w14:textId="484F5183" w:rsidR="00BC6ADF" w:rsidRPr="00511365" w:rsidRDefault="00BC6ADF" w:rsidP="00621271">
      <w:pPr>
        <w:pStyle w:val="Sinespaciado"/>
        <w:jc w:val="center"/>
        <w:rPr>
          <w:rFonts w:cstheme="minorHAnsi"/>
          <w:u w:val="single"/>
        </w:rPr>
      </w:pPr>
      <w:r w:rsidRPr="00511365">
        <w:rPr>
          <w:rFonts w:cstheme="minorHAnsi"/>
          <w:u w:val="single"/>
        </w:rPr>
        <w:t xml:space="preserve">Modelo de Oferta </w:t>
      </w:r>
    </w:p>
    <w:p w14:paraId="57299485" w14:textId="77777777" w:rsidR="00BC6ADF" w:rsidRPr="00511365" w:rsidRDefault="00BC6ADF" w:rsidP="00621271">
      <w:pPr>
        <w:pStyle w:val="Sinespaciado"/>
        <w:jc w:val="center"/>
        <w:rPr>
          <w:rFonts w:cstheme="minorHAnsi"/>
          <w:u w:val="single"/>
        </w:rPr>
      </w:pPr>
    </w:p>
    <w:p w14:paraId="713394D8" w14:textId="77777777" w:rsidR="00BC6ADF" w:rsidRPr="00511365" w:rsidRDefault="00BC6ADF" w:rsidP="00621271">
      <w:pPr>
        <w:pStyle w:val="Sinespaciado"/>
        <w:jc w:val="center"/>
        <w:rPr>
          <w:rFonts w:cstheme="minorHAnsi"/>
          <w:i/>
          <w:iCs/>
        </w:rPr>
      </w:pPr>
      <w:r w:rsidRPr="00511365">
        <w:rPr>
          <w:rFonts w:cstheme="minorHAnsi"/>
          <w:i/>
          <w:iCs/>
        </w:rPr>
        <w:t>[Hoja membretada de la Institución Financiera Correspondiente]</w:t>
      </w:r>
    </w:p>
    <w:p w14:paraId="62E21D33" w14:textId="77777777" w:rsidR="00BC6ADF" w:rsidRPr="00511365" w:rsidRDefault="00BC6ADF" w:rsidP="00621271">
      <w:pPr>
        <w:pStyle w:val="Sinespaciado"/>
        <w:jc w:val="center"/>
        <w:rPr>
          <w:rFonts w:cstheme="minorHAnsi"/>
          <w:strike/>
          <w:u w:val="single"/>
        </w:rPr>
      </w:pPr>
    </w:p>
    <w:p w14:paraId="17871B9A" w14:textId="77777777" w:rsidR="00BC6ADF" w:rsidRPr="00511365" w:rsidRDefault="00BC6ADF" w:rsidP="00621271">
      <w:pPr>
        <w:jc w:val="right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[*] Lugar y Fecha de Expedición</w:t>
      </w:r>
    </w:p>
    <w:p w14:paraId="353A8FE7" w14:textId="77777777" w:rsidR="00BC6ADF" w:rsidRPr="00511365" w:rsidRDefault="00BC6ADF" w:rsidP="00621271">
      <w:pPr>
        <w:rPr>
          <w:rFonts w:asciiTheme="minorHAnsi" w:hAnsiTheme="minorHAnsi" w:cstheme="minorHAnsi"/>
          <w:b/>
          <w:spacing w:val="6"/>
          <w:sz w:val="22"/>
          <w:szCs w:val="22"/>
        </w:rPr>
      </w:pPr>
    </w:p>
    <w:p w14:paraId="22AF6A29" w14:textId="77777777" w:rsidR="00BC6ADF" w:rsidRPr="00511365" w:rsidRDefault="00BC6ADF" w:rsidP="00621271">
      <w:pPr>
        <w:tabs>
          <w:tab w:val="left" w:pos="6075"/>
        </w:tabs>
        <w:rPr>
          <w:rFonts w:asciiTheme="minorHAnsi" w:hAnsiTheme="minorHAnsi" w:cstheme="minorHAnsi"/>
          <w:b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/>
          <w:spacing w:val="6"/>
          <w:sz w:val="22"/>
          <w:szCs w:val="22"/>
        </w:rPr>
        <w:t>Mtro. José de Jesús Granillo Vázquez</w:t>
      </w:r>
    </w:p>
    <w:p w14:paraId="3E88672F" w14:textId="77777777" w:rsidR="00BC6ADF" w:rsidRPr="00511365" w:rsidRDefault="00BC6ADF" w:rsidP="00621271">
      <w:pPr>
        <w:tabs>
          <w:tab w:val="left" w:pos="6075"/>
        </w:tabs>
        <w:rPr>
          <w:rFonts w:asciiTheme="minorHAnsi" w:hAnsiTheme="minorHAnsi" w:cstheme="minorHAnsi"/>
          <w:b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/>
          <w:spacing w:val="6"/>
          <w:sz w:val="22"/>
          <w:szCs w:val="22"/>
        </w:rPr>
        <w:t>Secretario de Hacienda</w:t>
      </w:r>
      <w:r w:rsidRPr="00511365">
        <w:rPr>
          <w:rFonts w:asciiTheme="minorHAnsi" w:hAnsiTheme="minorHAnsi" w:cstheme="minorHAnsi"/>
          <w:b/>
          <w:spacing w:val="6"/>
          <w:sz w:val="22"/>
          <w:szCs w:val="22"/>
        </w:rPr>
        <w:tab/>
      </w:r>
    </w:p>
    <w:p w14:paraId="11EB4A12" w14:textId="77777777" w:rsidR="00BC6ADF" w:rsidRPr="00511365" w:rsidRDefault="00BC6ADF" w:rsidP="00621271">
      <w:pPr>
        <w:rPr>
          <w:rFonts w:asciiTheme="minorHAnsi" w:hAnsiTheme="minorHAnsi" w:cstheme="minorHAnsi"/>
          <w:b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/>
          <w:spacing w:val="6"/>
          <w:sz w:val="22"/>
          <w:szCs w:val="22"/>
        </w:rPr>
        <w:t>Gobierno del Estado de Chihuahua</w:t>
      </w:r>
    </w:p>
    <w:p w14:paraId="0A855FC5" w14:textId="77777777" w:rsidR="00BC6ADF" w:rsidRPr="00511365" w:rsidRDefault="00BC6ADF" w:rsidP="00621271">
      <w:pPr>
        <w:rPr>
          <w:rFonts w:asciiTheme="minorHAnsi" w:hAnsiTheme="minorHAnsi" w:cstheme="minorHAnsi"/>
          <w:b/>
          <w:spacing w:val="6"/>
          <w:sz w:val="22"/>
          <w:szCs w:val="22"/>
        </w:rPr>
      </w:pPr>
    </w:p>
    <w:p w14:paraId="39B7CA21" w14:textId="77777777" w:rsidR="00BC6ADF" w:rsidRPr="00511365" w:rsidRDefault="00BC6ADF" w:rsidP="00621271">
      <w:pPr>
        <w:rPr>
          <w:rFonts w:asciiTheme="minorHAnsi" w:hAnsiTheme="minorHAnsi" w:cstheme="minorHAnsi"/>
          <w:b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/>
          <w:spacing w:val="6"/>
          <w:sz w:val="22"/>
          <w:szCs w:val="22"/>
        </w:rPr>
        <w:t>PRESENTE</w:t>
      </w:r>
    </w:p>
    <w:p w14:paraId="5AD22B5A" w14:textId="77777777" w:rsidR="00BC6ADF" w:rsidRPr="00511365" w:rsidRDefault="00BC6ADF" w:rsidP="00621271">
      <w:pPr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14:paraId="4BD613F4" w14:textId="77777777" w:rsidR="00BC6ADF" w:rsidRPr="00511365" w:rsidRDefault="00BC6ADF" w:rsidP="00621271">
      <w:pPr>
        <w:jc w:val="right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Re. Oferta irrevocable para la Licitación Pública </w:t>
      </w:r>
    </w:p>
    <w:p w14:paraId="6EC865EF" w14:textId="77777777" w:rsidR="00BC6ADF" w:rsidRPr="00511365" w:rsidRDefault="00BC6ADF" w:rsidP="00621271">
      <w:pPr>
        <w:jc w:val="right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No. </w:t>
      </w:r>
      <w:r w:rsidRPr="00511365">
        <w:rPr>
          <w:rFonts w:asciiTheme="minorHAnsi" w:hAnsiTheme="minorHAnsi" w:cstheme="minorHAnsi"/>
          <w:b/>
          <w:sz w:val="22"/>
          <w:szCs w:val="22"/>
        </w:rPr>
        <w:t>SH/LPDP/[*]/2023</w:t>
      </w:r>
      <w:r w:rsidRPr="00511365">
        <w:rPr>
          <w:rFonts w:asciiTheme="minorHAnsi" w:hAnsiTheme="minorHAnsi" w:cstheme="minorHAnsi"/>
          <w:b/>
          <w:bCs/>
          <w:spacing w:val="6"/>
          <w:sz w:val="22"/>
          <w:szCs w:val="22"/>
        </w:rPr>
        <w:t>, Financiamiento Banobras.</w:t>
      </w:r>
    </w:p>
    <w:p w14:paraId="18FB6A0D" w14:textId="77777777" w:rsidR="00BC6ADF" w:rsidRPr="00511365" w:rsidRDefault="00BC6ADF" w:rsidP="00621271">
      <w:pPr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002041AE" w14:textId="77777777" w:rsidR="00BC6ADF" w:rsidRPr="00511365" w:rsidRDefault="00BC6ADF" w:rsidP="00621271">
      <w:pPr>
        <w:ind w:firstLine="708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[Nombre del Licitante], representada por [Nombre del Representante], según se ha acreditado con la documentación [Datos del Poder] (la “</w:t>
      </w:r>
      <w:r w:rsidRPr="00511365">
        <w:rPr>
          <w:rFonts w:asciiTheme="minorHAnsi" w:hAnsiTheme="minorHAnsi" w:cstheme="minorHAnsi"/>
          <w:spacing w:val="6"/>
          <w:sz w:val="22"/>
          <w:szCs w:val="22"/>
          <w:u w:val="single"/>
        </w:rPr>
        <w:t>Institución Financiera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>”), enviada el [*] de [*] a la Secretaría de Hacienda del Poder Ejecutivo del Estado Libre y Soberano de Chihuahua (la “</w:t>
      </w:r>
      <w:r w:rsidRPr="00511365">
        <w:rPr>
          <w:rFonts w:asciiTheme="minorHAnsi" w:hAnsiTheme="minorHAnsi" w:cstheme="minorHAnsi"/>
          <w:spacing w:val="6"/>
          <w:sz w:val="22"/>
          <w:szCs w:val="22"/>
          <w:u w:val="single"/>
        </w:rPr>
        <w:t>Secretaría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>” y el “</w:t>
      </w:r>
      <w:r w:rsidRPr="00511365">
        <w:rPr>
          <w:rFonts w:asciiTheme="minorHAnsi" w:hAnsiTheme="minorHAnsi" w:cstheme="minorHAnsi"/>
          <w:spacing w:val="6"/>
          <w:sz w:val="22"/>
          <w:szCs w:val="22"/>
          <w:u w:val="single"/>
        </w:rPr>
        <w:t>Estado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>”, respectivamente), en la Licitación Pública No. SH/LPDP/[*]/2023 convocada por el Estado, a través de la Secretaría, el [*] de [*] de [*] (la “</w:t>
      </w:r>
      <w:r w:rsidRPr="00511365">
        <w:rPr>
          <w:rFonts w:asciiTheme="minorHAnsi" w:hAnsiTheme="minorHAnsi" w:cstheme="minorHAnsi"/>
          <w:spacing w:val="6"/>
          <w:sz w:val="22"/>
          <w:szCs w:val="22"/>
          <w:u w:val="single"/>
        </w:rPr>
        <w:t>Convocatoria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 xml:space="preserve">”), presenta la siguiente Oferta para el instrumento derivado </w:t>
      </w:r>
      <w:r w:rsidRPr="00511365">
        <w:rPr>
          <w:rFonts w:asciiTheme="minorHAnsi" w:eastAsia="Arial" w:hAnsiTheme="minorHAnsi" w:cstheme="minorHAnsi"/>
          <w:bCs/>
          <w:spacing w:val="6"/>
          <w:sz w:val="22"/>
          <w:szCs w:val="22"/>
          <w:lang w:val="es-ES"/>
        </w:rPr>
        <w:t>Derivados</w:t>
      </w:r>
      <w:r w:rsidRPr="00511365">
        <w:rPr>
          <w:rFonts w:asciiTheme="minorHAnsi" w:hAnsiTheme="minorHAnsi" w:cstheme="minorHAnsi"/>
          <w:sz w:val="22"/>
          <w:szCs w:val="22"/>
        </w:rPr>
        <w:t xml:space="preserve"> de cobertura de tasa bajo la modalidad de CAP Spread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 xml:space="preserve">, con la finalidad de darle cobertura al Financiamiento Banobras que se describe en la presente. </w:t>
      </w:r>
    </w:p>
    <w:p w14:paraId="7084523A" w14:textId="77777777" w:rsidR="00BC6ADF" w:rsidRPr="00511365" w:rsidRDefault="00BC6ADF" w:rsidP="00621271">
      <w:pPr>
        <w:ind w:firstLine="708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1F5366BF" w14:textId="77777777" w:rsidR="00BC6ADF" w:rsidRPr="00511365" w:rsidRDefault="00BC6ADF" w:rsidP="00621271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  <w:r w:rsidRPr="00511365">
        <w:rPr>
          <w:rFonts w:asciiTheme="minorHAnsi" w:hAnsiTheme="minorHAnsi" w:cstheme="minorHAnsi"/>
          <w:i/>
          <w:iCs/>
          <w:sz w:val="22"/>
          <w:szCs w:val="22"/>
        </w:rPr>
        <w:t>Los términos en mayúscula inicial que no se encuentren expresamente definidos en la presente tendrán el significado que se les atribuye en la Convocatoria.</w:t>
      </w:r>
    </w:p>
    <w:p w14:paraId="5D996FD9" w14:textId="77777777" w:rsidR="00BC6ADF" w:rsidRPr="00511365" w:rsidRDefault="00BC6ADF" w:rsidP="00621271">
      <w:pPr>
        <w:ind w:firstLine="708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6264B617" w14:textId="77777777" w:rsidR="00BC6ADF" w:rsidRPr="00511365" w:rsidRDefault="00BC6ADF" w:rsidP="00621271">
      <w:pPr>
        <w:ind w:firstLine="708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La Institución Financiera manifiesta que la presente Oferta constituye una oferta en firme, vinculante e irrevocable, con una vigencia hasta la fecha y hora prevista en la Convocatoria, bajo los siguientes términos y condiciones:</w:t>
      </w:r>
    </w:p>
    <w:p w14:paraId="4CAA7D87" w14:textId="77777777" w:rsidR="00BC6ADF" w:rsidRPr="00511365" w:rsidRDefault="00BC6ADF" w:rsidP="00621271">
      <w:pPr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14:paraId="439E7078" w14:textId="77777777" w:rsidR="00BC6ADF" w:rsidRPr="00511365" w:rsidRDefault="00BC6ADF" w:rsidP="00621271">
      <w:pPr>
        <w:pStyle w:val="Prrafodelista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/>
          <w:bCs/>
          <w:spacing w:val="6"/>
          <w:sz w:val="22"/>
          <w:szCs w:val="22"/>
        </w:rPr>
        <w:t>Aspectos a Ofertar:</w:t>
      </w:r>
    </w:p>
    <w:p w14:paraId="304D8FED" w14:textId="77777777" w:rsidR="00BC6ADF" w:rsidRPr="00511365" w:rsidRDefault="00BC6ADF" w:rsidP="00621271">
      <w:pPr>
        <w:rPr>
          <w:rFonts w:asciiTheme="minorHAnsi" w:hAnsiTheme="minorHAnsi" w:cstheme="minorHAnsi"/>
          <w:spacing w:val="6"/>
          <w:sz w:val="22"/>
          <w:szCs w:val="22"/>
        </w:rPr>
      </w:pPr>
    </w:p>
    <w:p w14:paraId="2A9732E4" w14:textId="77777777" w:rsidR="00BC6ADF" w:rsidRPr="00511365" w:rsidRDefault="00BC6ADF" w:rsidP="00621271">
      <w:pPr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/>
          <w:bCs/>
          <w:spacing w:val="6"/>
          <w:sz w:val="22"/>
          <w:szCs w:val="22"/>
        </w:rPr>
        <w:t>La contraprestación o prima por la contratación del Instrumento Derivado referido en la presente oferta será por la cantidad de $[*] ([*] Pesos [*]/100 M.N.).</w:t>
      </w:r>
    </w:p>
    <w:p w14:paraId="05882CB9" w14:textId="77777777" w:rsidR="00BC6ADF" w:rsidRPr="00511365" w:rsidRDefault="00BC6ADF" w:rsidP="00621271">
      <w:pPr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14:paraId="54286B28" w14:textId="77777777" w:rsidR="00BC6ADF" w:rsidRPr="00511365" w:rsidRDefault="00BC6ADF" w:rsidP="00621271">
      <w:pPr>
        <w:pStyle w:val="Prrafodelista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/>
          <w:bCs/>
          <w:spacing w:val="6"/>
          <w:sz w:val="22"/>
          <w:szCs w:val="22"/>
        </w:rPr>
        <w:t>Características del Instrumento Derivado:</w:t>
      </w:r>
    </w:p>
    <w:p w14:paraId="2DA3AEFB" w14:textId="77777777" w:rsidR="00BC6ADF" w:rsidRPr="00511365" w:rsidRDefault="00BC6ADF" w:rsidP="00621271">
      <w:pPr>
        <w:rPr>
          <w:rFonts w:asciiTheme="minorHAnsi" w:hAnsiTheme="minorHAnsi" w:cstheme="minorHAnsi"/>
          <w:spacing w:val="6"/>
          <w:sz w:val="22"/>
          <w:szCs w:val="22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BC6ADF" w:rsidRPr="00511365" w14:paraId="478BF1D2" w14:textId="77777777" w:rsidTr="00970F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97AA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5B5" w14:textId="77777777" w:rsidR="00BC6ADF" w:rsidRPr="00511365" w:rsidRDefault="00BC6ADF" w:rsidP="00621271">
            <w:pPr>
              <w:jc w:val="both"/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>Instrumento Derivado de cobertura de tasa bajo la modalidad de CAP Spread, en virtud del cual, la contraparte se obliga a cubrir los intereses que se ubiquen dentro del Rango de Ejercicio.</w:t>
            </w:r>
          </w:p>
        </w:tc>
      </w:tr>
      <w:tr w:rsidR="00BC6ADF" w:rsidRPr="00511365" w14:paraId="37860962" w14:textId="77777777" w:rsidTr="00970F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2DF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lastRenderedPageBreak/>
              <w:t>Financiamiento al que está asociado:</w:t>
            </w:r>
          </w:p>
          <w:p w14:paraId="5BB48031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951" w14:textId="77777777" w:rsidR="00BC6ADF" w:rsidRPr="00511365" w:rsidRDefault="00BC6ADF" w:rsidP="00621271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 Unicode MS" w:hAnsiTheme="minorHAnsi" w:cstheme="minorHAnsi"/>
                <w:w w:val="0"/>
                <w:sz w:val="22"/>
                <w:szCs w:val="22"/>
                <w:lang w:eastAsia="es-MX"/>
              </w:rPr>
              <w:t>Contrato de Apertura de Crédito Simple de fecha 28 de diciembre de 2022, que celebraron el Estado Libre y Soberano de Chihuahua como acreditado y Banco Nacional de Obras y Servicios Públicos, Sociedad Nacional de Crédito, Institución de Banca de Desarrollo como acreditante (“</w:t>
            </w:r>
            <w:r w:rsidRPr="00511365">
              <w:rPr>
                <w:rFonts w:asciiTheme="minorHAnsi" w:eastAsia="Arial Unicode MS" w:hAnsiTheme="minorHAnsi" w:cstheme="minorHAnsi"/>
                <w:w w:val="0"/>
                <w:sz w:val="22"/>
                <w:szCs w:val="22"/>
                <w:u w:val="single"/>
                <w:lang w:eastAsia="es-MX"/>
              </w:rPr>
              <w:t>Banobras</w:t>
            </w:r>
            <w:r w:rsidRPr="00511365">
              <w:rPr>
                <w:rFonts w:asciiTheme="minorHAnsi" w:eastAsia="Arial Unicode MS" w:hAnsiTheme="minorHAnsi" w:cstheme="minorHAnsi"/>
                <w:w w:val="0"/>
                <w:sz w:val="22"/>
                <w:szCs w:val="22"/>
                <w:lang w:eastAsia="es-MX"/>
              </w:rPr>
              <w:t>”), hasta por una cantidad de $479’433,765.12 (Cuatrocientos setenta y nueve millones cuatrocientos treinta y tres mil setecientos sesenta y cinco pesos 12/100 M.N.), mismo que fue modificado a través de la celebración de un convenio modificatorio entre el Estado y Banobras el 10 de febrero de 2023 (el “</w:t>
            </w:r>
            <w:r w:rsidRPr="00511365">
              <w:rPr>
                <w:rFonts w:asciiTheme="minorHAnsi" w:eastAsia="Arial Unicode MS" w:hAnsiTheme="minorHAnsi" w:cstheme="minorHAnsi"/>
                <w:w w:val="0"/>
                <w:sz w:val="22"/>
                <w:szCs w:val="22"/>
                <w:u w:val="single"/>
                <w:lang w:eastAsia="es-MX"/>
              </w:rPr>
              <w:t>Financiamiento Banobras</w:t>
            </w:r>
            <w:r w:rsidRPr="00511365">
              <w:rPr>
                <w:rFonts w:asciiTheme="minorHAnsi" w:eastAsia="Arial Unicode MS" w:hAnsiTheme="minorHAnsi" w:cstheme="minorHAnsi"/>
                <w:w w:val="0"/>
                <w:sz w:val="22"/>
                <w:szCs w:val="22"/>
                <w:lang w:eastAsia="es-MX"/>
              </w:rPr>
              <w:t>”)</w:t>
            </w:r>
          </w:p>
        </w:tc>
      </w:tr>
      <w:tr w:rsidR="00BC6ADF" w:rsidRPr="00511365" w14:paraId="64EE2A30" w14:textId="77777777" w:rsidTr="00970F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D017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3E0" w14:textId="5D248288" w:rsidR="00BC6ADF" w:rsidRPr="00511365" w:rsidRDefault="00BC6ADF" w:rsidP="00621271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 xml:space="preserve">La cantidad de </w:t>
            </w:r>
            <w:r w:rsidR="003061D2" w:rsidRPr="00511365">
              <w:rPr>
                <w:rFonts w:asciiTheme="minorHAnsi" w:eastAsia="Arial" w:hAnsiTheme="minorHAnsi" w:cstheme="minorHAnsi"/>
                <w:b/>
                <w:spacing w:val="6"/>
                <w:sz w:val="22"/>
                <w:szCs w:val="22"/>
                <w:lang w:val="es-ES"/>
              </w:rPr>
              <w:t>$478’474,827.03 (Cuatrocientos setenta y ocho millones cuatrocientos setenta y cuatro mil ochocientos veintisiete pesos 03/100 M.N.),</w:t>
            </w:r>
            <w:r w:rsidR="003061D2"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 xml:space="preserve"> 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 xml:space="preserve">asociada al Financiamiento Banobras y de acuerdo con la tabla de amortización adjunta a la Convocatoria de la Licitación como Anexo B. </w:t>
            </w:r>
          </w:p>
        </w:tc>
      </w:tr>
      <w:tr w:rsidR="00BC6ADF" w:rsidRPr="00511365" w14:paraId="1A62B10C" w14:textId="77777777" w:rsidTr="00970F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7045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Rango de Ejercicio: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211" w14:textId="77777777" w:rsidR="00BC6ADF" w:rsidRPr="00511365" w:rsidRDefault="00BC6ADF" w:rsidP="00621271">
            <w:pPr>
              <w:contextualSpacing/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>El Piso del Rango de Ejercicio será de [*]% ([*] por ciento), y el Techo del Rango de Ejercicio será de [*]% ([*] por ciento) en relación con la TIIE 28, que constituye la tasa de referencia para el cálculo de la tasa de interés ordinaria del Financiamiento Banobras.</w:t>
            </w:r>
          </w:p>
          <w:p w14:paraId="03C7CF90" w14:textId="77777777" w:rsidR="00BC6ADF" w:rsidRPr="00511365" w:rsidRDefault="00BC6ADF" w:rsidP="00621271">
            <w:pPr>
              <w:ind w:left="567"/>
              <w:contextualSpacing/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</w:p>
          <w:p w14:paraId="7B58D7FB" w14:textId="60CAF989" w:rsidR="00BC6ADF" w:rsidRPr="00511365" w:rsidRDefault="00BC6ADF" w:rsidP="00621271">
            <w:pPr>
              <w:contextualSpacing/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 xml:space="preserve">En el supuesto de que la Tasa de Referencia supere el Rango de Ejercicio, el Estado pagará, con recursos propios, o a través del Fideicomiso, los intereses que correspondan. </w:t>
            </w:r>
          </w:p>
        </w:tc>
      </w:tr>
      <w:tr w:rsidR="00BC6ADF" w:rsidRPr="00511365" w14:paraId="0FEE9733" w14:textId="77777777" w:rsidTr="00970F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C62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Plazo:</w:t>
            </w:r>
          </w:p>
          <w:p w14:paraId="3963C031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A90" w14:textId="33200971" w:rsidR="00BC6ADF" w:rsidRPr="00511365" w:rsidRDefault="00BC6ADF" w:rsidP="00621271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36</w:t>
            </w:r>
            <w:r w:rsidR="00D858CB"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6</w:t>
            </w:r>
            <w:r w:rsidRPr="00511365">
              <w:rPr>
                <w:rFonts w:asciiTheme="minorHAnsi" w:eastAsia="Times New Roman" w:hAnsiTheme="minorHAnsi" w:cstheme="minorHAnsi"/>
                <w:spacing w:val="6"/>
                <w:sz w:val="22"/>
                <w:szCs w:val="22"/>
                <w:lang w:val="es-ES"/>
              </w:rPr>
              <w:t xml:space="preserve"> 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>(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trescientos sesenta y</w:t>
            </w:r>
            <w:r w:rsidR="00D858CB"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 xml:space="preserve"> seis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>) días, contados a partir de la Fecha de Inicio del Instrumento Derivado.</w:t>
            </w:r>
          </w:p>
        </w:tc>
      </w:tr>
      <w:tr w:rsidR="00BC6ADF" w:rsidRPr="00511365" w14:paraId="46229E51" w14:textId="77777777" w:rsidTr="00970F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DAF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 xml:space="preserve">Fecha de Inicio del </w:t>
            </w:r>
          </w:p>
          <w:p w14:paraId="609EF76C" w14:textId="6DA3659A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C439" w14:textId="77777777" w:rsidR="00BC6ADF" w:rsidRPr="00511365" w:rsidRDefault="00BC6ADF" w:rsidP="00621271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[*] de [*] de 2023</w:t>
            </w:r>
            <w:r w:rsidRPr="00511365" w:rsidDel="00DC33F5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511365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(incluyéndolo).</w:t>
            </w:r>
          </w:p>
        </w:tc>
      </w:tr>
      <w:tr w:rsidR="00BC6ADF" w:rsidRPr="00511365" w14:paraId="43D3F468" w14:textId="77777777" w:rsidTr="00970F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861" w14:textId="1400615A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Fecha de Terminación del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B5F4" w14:textId="77777777" w:rsidR="00BC6ADF" w:rsidRPr="00511365" w:rsidRDefault="00BC6ADF" w:rsidP="00621271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>[*] de [*] de [*]</w:t>
            </w:r>
            <w:r w:rsidRPr="00511365" w:rsidDel="00DC33F5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511365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(incluyéndolo).</w:t>
            </w:r>
          </w:p>
        </w:tc>
      </w:tr>
      <w:tr w:rsidR="00BC6ADF" w:rsidRPr="00511365" w14:paraId="63B95183" w14:textId="77777777" w:rsidTr="00970F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E69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Periodicidad de pago de los intereses:</w:t>
            </w:r>
          </w:p>
          <w:p w14:paraId="771F79CF" w14:textId="77777777" w:rsidR="00BC6ADF" w:rsidRPr="00511365" w:rsidRDefault="00BC6ADF" w:rsidP="00621271">
            <w:pPr>
              <w:jc w:val="both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F2FC" w14:textId="559D70E2" w:rsidR="00BC6ADF" w:rsidRPr="00511365" w:rsidRDefault="00BC6ADF" w:rsidP="00621271">
            <w:pPr>
              <w:jc w:val="both"/>
              <w:rPr>
                <w:rFonts w:asciiTheme="minorHAnsi" w:eastAsia="Arial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>Mensual, en la misma fecha que la Fecha de Pago (según dicho término se define en el contrato de crédito del Financiamiento Banobras).</w:t>
            </w:r>
          </w:p>
        </w:tc>
      </w:tr>
      <w:tr w:rsidR="00BC6ADF" w:rsidRPr="00511365" w14:paraId="31D5F6BF" w14:textId="77777777" w:rsidTr="00970F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EF9F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8937" w14:textId="77777777" w:rsidR="00BC6ADF" w:rsidRPr="00511365" w:rsidRDefault="00BC6ADF" w:rsidP="00621271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>En cada Fecha de Pago del Financiamiento Banobras (según dicho término se define en el C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rédito Banobras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>).</w:t>
            </w:r>
          </w:p>
        </w:tc>
      </w:tr>
      <w:tr w:rsidR="00BC6ADF" w:rsidRPr="00511365" w14:paraId="046C09B1" w14:textId="77777777" w:rsidTr="00970F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C936" w14:textId="77777777" w:rsidR="00BC6ADF" w:rsidRPr="00511365" w:rsidRDefault="00BC6ADF" w:rsidP="00621271">
            <w:pPr>
              <w:jc w:val="both"/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EF" w14:textId="6FB6DF32" w:rsidR="00BC6ADF" w:rsidRPr="00511365" w:rsidRDefault="00BC6ADF" w:rsidP="00621271">
            <w:pPr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Sin Gastos Adicionales.</w:t>
            </w:r>
          </w:p>
        </w:tc>
      </w:tr>
      <w:tr w:rsidR="00BC6ADF" w:rsidRPr="00511365" w14:paraId="4D54F3DC" w14:textId="77777777" w:rsidTr="00970F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2F0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Gastos Adicionales Contingentes:</w:t>
            </w:r>
          </w:p>
          <w:p w14:paraId="3B923E66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D74" w14:textId="1804156E" w:rsidR="00BC6ADF" w:rsidRPr="00511365" w:rsidRDefault="00BC6ADF" w:rsidP="00621271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Los únicos Gastos Adicionales Contingentes serán aquellos que, en su caso, se generen por el rompimiento del Instrumento Derivado.</w:t>
            </w:r>
          </w:p>
        </w:tc>
      </w:tr>
    </w:tbl>
    <w:p w14:paraId="4F1C2C04" w14:textId="77777777" w:rsidR="00BC6ADF" w:rsidRPr="00511365" w:rsidRDefault="00BC6ADF" w:rsidP="00621271">
      <w:pPr>
        <w:rPr>
          <w:rFonts w:asciiTheme="minorHAnsi" w:hAnsiTheme="minorHAnsi" w:cstheme="minorHAnsi"/>
          <w:spacing w:val="6"/>
          <w:sz w:val="22"/>
          <w:szCs w:val="22"/>
        </w:rPr>
      </w:pPr>
    </w:p>
    <w:p w14:paraId="06D18147" w14:textId="77777777" w:rsidR="00BC6ADF" w:rsidRPr="00511365" w:rsidRDefault="00BC6ADF" w:rsidP="00621271">
      <w:pPr>
        <w:pStyle w:val="Prrafodelista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/>
          <w:bCs/>
          <w:spacing w:val="6"/>
          <w:sz w:val="22"/>
          <w:szCs w:val="22"/>
        </w:rPr>
        <w:t>Características del Financiamiento.</w:t>
      </w:r>
    </w:p>
    <w:p w14:paraId="2E5942E2" w14:textId="77777777" w:rsidR="00BC6ADF" w:rsidRPr="00511365" w:rsidRDefault="00BC6ADF" w:rsidP="00621271">
      <w:pPr>
        <w:rPr>
          <w:rFonts w:asciiTheme="minorHAnsi" w:hAnsiTheme="minorHAnsi" w:cstheme="minorHAnsi"/>
          <w:spacing w:val="6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C6ADF" w:rsidRPr="00511365" w14:paraId="0AD3CB10" w14:textId="77777777" w:rsidTr="00970F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9385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Tipo de Contrato: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0BA" w14:textId="77777777" w:rsidR="00BC6ADF" w:rsidRPr="00511365" w:rsidRDefault="00BC6ADF" w:rsidP="00621271">
            <w:pPr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>Contrato de Apertura de Crédito Simple.</w:t>
            </w:r>
          </w:p>
          <w:p w14:paraId="42C1407D" w14:textId="77777777" w:rsidR="00BC6ADF" w:rsidRPr="00511365" w:rsidRDefault="00BC6ADF" w:rsidP="00621271">
            <w:pPr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</w:p>
        </w:tc>
      </w:tr>
      <w:tr w:rsidR="00BC6ADF" w:rsidRPr="00511365" w14:paraId="0E1FCA5A" w14:textId="77777777" w:rsidTr="00970F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DB82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Fecha del Contrato de Crédito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FAFD" w14:textId="77777777" w:rsidR="00BC6ADF" w:rsidRPr="00511365" w:rsidRDefault="00BC6ADF" w:rsidP="00621271">
            <w:pPr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 Unicode MS" w:hAnsiTheme="minorHAnsi" w:cstheme="minorHAnsi"/>
                <w:w w:val="0"/>
                <w:sz w:val="22"/>
                <w:szCs w:val="22"/>
                <w:lang w:eastAsia="es-MX"/>
              </w:rPr>
              <w:t>28 de diciembre de 2022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>.</w:t>
            </w:r>
          </w:p>
        </w:tc>
      </w:tr>
      <w:tr w:rsidR="00BC6ADF" w:rsidRPr="00511365" w14:paraId="30938096" w14:textId="77777777" w:rsidTr="00970F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9DB5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Monto Contratado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FBE" w14:textId="2BFAB8DC" w:rsidR="00BC6ADF" w:rsidRPr="00511365" w:rsidRDefault="0045748E" w:rsidP="00621271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 Unicode MS" w:hAnsiTheme="minorHAnsi" w:cstheme="minorHAnsi"/>
                <w:w w:val="0"/>
                <w:sz w:val="22"/>
                <w:szCs w:val="22"/>
                <w:lang w:eastAsia="es-MX"/>
              </w:rPr>
              <w:t>$</w:t>
            </w:r>
            <w:r w:rsidR="00BC6ADF" w:rsidRPr="00511365">
              <w:rPr>
                <w:rFonts w:asciiTheme="minorHAnsi" w:eastAsia="Arial Unicode MS" w:hAnsiTheme="minorHAnsi" w:cstheme="minorHAnsi"/>
                <w:w w:val="0"/>
                <w:sz w:val="22"/>
                <w:szCs w:val="22"/>
                <w:lang w:eastAsia="es-MX"/>
              </w:rPr>
              <w:t>479’433,765.12 (Cuatrocientos setenta y nueve millones cuatrocientos treinta y tres mil setecientos sesenta y cinco pesos 12/100 M.N.)</w:t>
            </w:r>
          </w:p>
        </w:tc>
      </w:tr>
      <w:tr w:rsidR="00BC6ADF" w:rsidRPr="00511365" w14:paraId="31CEA654" w14:textId="77777777" w:rsidTr="00970F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B5B0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Tasa de Referencia: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755" w14:textId="7C755D2C" w:rsidR="00BC6ADF" w:rsidRPr="00511365" w:rsidRDefault="00BC6ADF" w:rsidP="00621271">
            <w:pPr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  <w:t>Tasa de Interés Interbancaria de Equilibrio a 28 (veintiocho) días</w:t>
            </w:r>
            <w:r w:rsidRPr="00511365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.</w:t>
            </w:r>
          </w:p>
        </w:tc>
      </w:tr>
      <w:tr w:rsidR="00BC6ADF" w:rsidRPr="00511365" w14:paraId="57148DD4" w14:textId="77777777" w:rsidTr="00970F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0EF6" w14:textId="10048236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Periodicidad de pago de capital e intereses: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D55F" w14:textId="77777777" w:rsidR="00BC6ADF" w:rsidRPr="00511365" w:rsidRDefault="00BC6ADF" w:rsidP="00621271">
            <w:pPr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Mensual.</w:t>
            </w:r>
          </w:p>
        </w:tc>
      </w:tr>
      <w:tr w:rsidR="00BC6ADF" w:rsidRPr="00511365" w14:paraId="4417A813" w14:textId="77777777" w:rsidTr="00970F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E2A5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Perfil de amortización: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714" w14:textId="0BD81A4B" w:rsidR="00BC6ADF" w:rsidRPr="00511365" w:rsidRDefault="00BC6ADF" w:rsidP="00621271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 xml:space="preserve">Perfil de amortización mensual, de acuerdo con la tabla de amortización inserta en el o los pagarés que acrediten las disposiciones realizadas al amparo del Financiamiento Banobras y la tabla de amortización que ampara el saldo insoluto de las disposiciones del Financiamiento Banobras realizadas a la fecha, misma que fue adjunta a la Convocatoria como </w:t>
            </w:r>
            <w:r w:rsidRPr="00511365">
              <w:rPr>
                <w:rFonts w:asciiTheme="minorHAnsi" w:eastAsia="Arial" w:hAnsiTheme="minorHAnsi" w:cstheme="minorHAnsi"/>
                <w:b/>
                <w:spacing w:val="6"/>
                <w:sz w:val="22"/>
                <w:szCs w:val="22"/>
                <w:lang w:val="es-ES"/>
              </w:rPr>
              <w:t>Anexo B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.</w:t>
            </w:r>
          </w:p>
        </w:tc>
      </w:tr>
      <w:tr w:rsidR="00BC6ADF" w:rsidRPr="00511365" w14:paraId="57E622DF" w14:textId="77777777" w:rsidTr="00970F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CAA0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Fuente de Pago: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148" w14:textId="77777777" w:rsidR="00BC6ADF" w:rsidRPr="00511365" w:rsidRDefault="00BC6ADF" w:rsidP="00621271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La cantidad, hasta donde baste y alcance, que resulte mayor entre: (i) el 8% (ocho por ciento) de los derechos e ingresos derivados de los mismos, que le corresponden al Estado de las aportaciones que reciba del Fondo de Aportaciones para el Fortalecimiento de las Entidades Federativas, a que hace referencia el artículo 25, fracción VIII, de la Ley de Coordinación Fiscal, así como los derechos y/o recursos derivados de los mismos, de aquellos fondos que en su caso lo reemplace, sustituya o complemente, y (</w:t>
            </w:r>
            <w:proofErr w:type="spellStart"/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ii</w:t>
            </w:r>
            <w:proofErr w:type="spellEnd"/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) la cantidad de $114,580,116.16 (Ciento catorce millones quinientos ochenta mil ciento dieciséis pesos 16/100 Moneda Nacional), que corresponde al 8% (ocho por ciento) del FAFEF del ejercicio 2022, el cual es el año de contratación del Financiamiento Banobras.</w:t>
            </w:r>
          </w:p>
        </w:tc>
      </w:tr>
      <w:tr w:rsidR="00BC6ADF" w:rsidRPr="00511365" w14:paraId="48CAC711" w14:textId="77777777" w:rsidTr="00970F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BC4C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Mecanismo de fuente de pago: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00B" w14:textId="77777777" w:rsidR="00BC6ADF" w:rsidRPr="00511365" w:rsidRDefault="00BC6ADF" w:rsidP="00621271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Contrato de Fideicomiso Irrevocable de Administración y Pago número 851-02793 (el “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u w:val="single"/>
                <w:lang w:val="es-ES"/>
              </w:rPr>
              <w:t>Fideicomiso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 xml:space="preserve">”), celebrado con fecha 30 de diciembre de 2022, entre el Estado Libre y Soberano de Chihuahua, en su carácter de Fideicomitente y Fideicomisario en Segundo Lugar, y por la otra Banco Regional, Sociedad Anónima, Institución de Banca Múltiple, </w:t>
            </w:r>
            <w:proofErr w:type="spellStart"/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Banregio</w:t>
            </w:r>
            <w:proofErr w:type="spellEnd"/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 xml:space="preserve"> Grupo Financiero, en su carácter de Fiduciario.</w:t>
            </w:r>
          </w:p>
        </w:tc>
      </w:tr>
      <w:tr w:rsidR="00BC6ADF" w:rsidRPr="00511365" w14:paraId="15C4A83D" w14:textId="77777777" w:rsidTr="00970F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4B1" w14:textId="3D846E73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Clave de Inscripción el Registro Estatal: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D30F" w14:textId="77777777" w:rsidR="00BC6ADF" w:rsidRPr="00511365" w:rsidRDefault="00BC6ADF" w:rsidP="00621271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Times New Roman" w:hAnsiTheme="minorHAnsi" w:cstheme="minorHAnsi"/>
                <w:spacing w:val="6"/>
                <w:sz w:val="22"/>
                <w:szCs w:val="22"/>
                <w:lang w:val="es-ES"/>
              </w:rPr>
              <w:t>44/2022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.</w:t>
            </w:r>
          </w:p>
        </w:tc>
      </w:tr>
      <w:tr w:rsidR="00BC6ADF" w:rsidRPr="00511365" w14:paraId="5DE503AA" w14:textId="77777777" w:rsidTr="00970F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212" w14:textId="1C8E0939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Clave de Inscripción en el Registro Público Único: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3BF5" w14:textId="77777777" w:rsidR="00BC6ADF" w:rsidRPr="00511365" w:rsidRDefault="00BC6ADF" w:rsidP="00621271">
            <w:pPr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Times New Roman" w:hAnsiTheme="minorHAnsi" w:cstheme="minorHAnsi"/>
                <w:spacing w:val="6"/>
                <w:sz w:val="22"/>
                <w:szCs w:val="22"/>
                <w:lang w:val="es-ES"/>
              </w:rPr>
              <w:t>A08-0223008</w:t>
            </w: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.</w:t>
            </w:r>
          </w:p>
        </w:tc>
      </w:tr>
      <w:tr w:rsidR="00BC6ADF" w:rsidRPr="00511365" w14:paraId="3AC2F529" w14:textId="77777777" w:rsidTr="00970F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6C8C" w14:textId="77777777" w:rsidR="00BC6ADF" w:rsidRPr="00511365" w:rsidRDefault="00BC6ADF" w:rsidP="00621271">
            <w:pP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511365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Registro del Fideicomiso: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FDE5" w14:textId="77777777" w:rsidR="00BC6ADF" w:rsidRPr="00511365" w:rsidRDefault="00BC6ADF" w:rsidP="00621271">
            <w:pPr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11365"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  <w:lang w:val="es-ES"/>
              </w:rPr>
              <w:t>001/2023.</w:t>
            </w:r>
          </w:p>
        </w:tc>
      </w:tr>
    </w:tbl>
    <w:p w14:paraId="6443FDDC" w14:textId="77777777" w:rsidR="00BC6ADF" w:rsidRPr="00511365" w:rsidRDefault="00BC6ADF" w:rsidP="00621271">
      <w:pPr>
        <w:rPr>
          <w:rFonts w:asciiTheme="minorHAnsi" w:hAnsiTheme="minorHAnsi" w:cstheme="minorHAnsi"/>
          <w:spacing w:val="6"/>
          <w:sz w:val="22"/>
          <w:szCs w:val="22"/>
        </w:rPr>
      </w:pPr>
    </w:p>
    <w:p w14:paraId="1F6EC434" w14:textId="77777777" w:rsidR="00BC6ADF" w:rsidRPr="00511365" w:rsidRDefault="00BC6ADF" w:rsidP="00621271">
      <w:pPr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lastRenderedPageBreak/>
        <w:t>La Institución Financiera, a través de su representante, manifiesta bajo protesta de decir verdad, que:</w:t>
      </w:r>
    </w:p>
    <w:p w14:paraId="7769CC37" w14:textId="77777777" w:rsidR="00BC6ADF" w:rsidRPr="00511365" w:rsidRDefault="00BC6ADF" w:rsidP="00621271">
      <w:pPr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30CC4534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(a)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ab/>
        <w:t>Es una sociedad mexicana, autorizada por la Comisión Nacional Bancaria y Valores para operar como institución de crédito y celebrar operaciones financieras de Instrumentos Derivados.</w:t>
      </w:r>
    </w:p>
    <w:p w14:paraId="2787B309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1BEC1D44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(b)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ab/>
        <w:t>A la fecha, sus calificaciones crediticias en escala nacional otorgadas por las Agencias Calificadoras autorizadas por la Comisión Nacional Bancaria y de Valores son iguales o superiores a BB+, o su equivalente.</w:t>
      </w:r>
    </w:p>
    <w:p w14:paraId="4C2B67A2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383398F4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eastAsia="Arial" w:hAnsiTheme="minorHAnsi" w:cstheme="minorHAnsi"/>
          <w:bCs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(c)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ab/>
      </w:r>
      <w:r w:rsidRPr="00511365">
        <w:rPr>
          <w:rFonts w:asciiTheme="minorHAnsi" w:eastAsia="Arial" w:hAnsiTheme="minorHAnsi" w:cstheme="minorHAns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2E7FA015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712D1E7E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(d)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ab/>
      </w:r>
      <w:r w:rsidRPr="00511365">
        <w:rPr>
          <w:rFonts w:asciiTheme="minorHAnsi" w:eastAsia="Arial" w:hAnsiTheme="minorHAnsi" w:cstheme="minorHAnsi"/>
          <w:bCs/>
          <w:spacing w:val="6"/>
          <w:sz w:val="22"/>
          <w:szCs w:val="22"/>
        </w:rPr>
        <w:t>Cuenta con un contrato marco, suplemento de operaciones financieras y, en su caso, el Anexo CAP con el Estado, firmado y vigente.</w:t>
      </w:r>
    </w:p>
    <w:p w14:paraId="6AF7B1F2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3B727997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eastAsia="Arial" w:hAnsiTheme="minorHAnsi" w:cstheme="minorHAnsi"/>
          <w:bCs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(e)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ab/>
        <w:t xml:space="preserve">Sus </w:t>
      </w:r>
      <w:r w:rsidRPr="00511365">
        <w:rPr>
          <w:rFonts w:asciiTheme="minorHAnsi" w:eastAsia="Arial" w:hAnsiTheme="minorHAnsi" w:cstheme="minorHAnsi"/>
          <w:bCs/>
          <w:spacing w:val="6"/>
          <w:sz w:val="22"/>
          <w:szCs w:val="22"/>
        </w:rPr>
        <w:t>órganos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511365">
        <w:rPr>
          <w:rFonts w:asciiTheme="minorHAnsi" w:eastAsia="Arial" w:hAnsiTheme="minorHAnsi" w:cstheme="minorHAnsi"/>
          <w:bCs/>
          <w:spacing w:val="6"/>
          <w:sz w:val="22"/>
          <w:szCs w:val="22"/>
        </w:rPr>
        <w:t>cual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previstas para la celebración del Instrumento Derivado.</w:t>
      </w:r>
    </w:p>
    <w:p w14:paraId="31AF6641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30F2A1A2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(f)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672F8B68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26040088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(g)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2951C87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2D742695" w14:textId="77777777" w:rsidR="00BC6ADF" w:rsidRPr="00511365" w:rsidRDefault="00BC6ADF" w:rsidP="00621271">
      <w:pPr>
        <w:pStyle w:val="Default"/>
        <w:ind w:left="567" w:hanging="56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(h)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5BF8FD2B" w14:textId="77777777" w:rsidR="00BC6ADF" w:rsidRPr="00511365" w:rsidRDefault="00BC6ADF" w:rsidP="00621271">
      <w:pPr>
        <w:pStyle w:val="Default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7A153FB2" w14:textId="77777777" w:rsidR="00BC6ADF" w:rsidRPr="00511365" w:rsidRDefault="00BC6ADF" w:rsidP="00621271">
      <w:pPr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 xml:space="preserve">Se adjuntan los siguientes documentos: (i) la tabla de amortización del Financiamiento Banobras como </w:t>
      </w:r>
      <w:r w:rsidRPr="00511365">
        <w:rPr>
          <w:rFonts w:asciiTheme="minorHAnsi" w:hAnsiTheme="minorHAnsi" w:cstheme="minorHAnsi"/>
          <w:b/>
          <w:bCs/>
          <w:spacing w:val="6"/>
          <w:sz w:val="22"/>
          <w:szCs w:val="22"/>
        </w:rPr>
        <w:t>Anexo 1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 xml:space="preserve">, (ii) copia del contrato marco y, en su caso, del suplemento y del anexo CAP, como </w:t>
      </w:r>
      <w:r w:rsidRPr="00511365">
        <w:rPr>
          <w:rFonts w:asciiTheme="minorHAnsi" w:hAnsiTheme="minorHAnsi" w:cstheme="minorHAnsi"/>
          <w:b/>
          <w:bCs/>
          <w:spacing w:val="6"/>
          <w:sz w:val="22"/>
          <w:szCs w:val="22"/>
        </w:rPr>
        <w:t>Anexo 2</w:t>
      </w:r>
      <w:r w:rsidRPr="00511365">
        <w:rPr>
          <w:rFonts w:asciiTheme="minorHAnsi" w:hAnsiTheme="minorHAnsi" w:cstheme="minorHAnsi"/>
          <w:spacing w:val="6"/>
          <w:sz w:val="22"/>
          <w:szCs w:val="22"/>
        </w:rPr>
        <w:t xml:space="preserve">, y (iii) copia de la identificación oficial vigente del representante que suscribe la Oferta y, en caso de ser diferente, de quien confirmará el Instrumento Derivado, como </w:t>
      </w:r>
      <w:r w:rsidRPr="00511365">
        <w:rPr>
          <w:rFonts w:asciiTheme="minorHAnsi" w:hAnsiTheme="minorHAnsi" w:cstheme="minorHAnsi"/>
          <w:b/>
          <w:spacing w:val="6"/>
          <w:sz w:val="22"/>
          <w:szCs w:val="22"/>
        </w:rPr>
        <w:t>Anexo 3</w:t>
      </w:r>
      <w:r w:rsidRPr="00511365">
        <w:rPr>
          <w:rFonts w:asciiTheme="minorHAnsi" w:hAnsiTheme="minorHAnsi" w:cstheme="minorHAnsi"/>
          <w:bCs/>
          <w:spacing w:val="6"/>
          <w:sz w:val="22"/>
          <w:szCs w:val="22"/>
        </w:rPr>
        <w:t>.</w:t>
      </w:r>
    </w:p>
    <w:p w14:paraId="1C399125" w14:textId="77777777" w:rsidR="00BC6ADF" w:rsidRPr="00511365" w:rsidRDefault="00BC6ADF" w:rsidP="00621271">
      <w:pPr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6781E71F" w14:textId="77777777" w:rsidR="00BC6ADF" w:rsidRPr="00511365" w:rsidRDefault="00BC6ADF" w:rsidP="00621271">
      <w:pPr>
        <w:pStyle w:val="Prrafodelista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/>
          <w:bCs/>
          <w:spacing w:val="6"/>
          <w:sz w:val="22"/>
          <w:szCs w:val="22"/>
          <w:u w:val="single"/>
        </w:rPr>
        <w:t>Información de contacto de la Institución Financiera</w:t>
      </w:r>
      <w:r w:rsidRPr="00511365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. </w:t>
      </w:r>
    </w:p>
    <w:p w14:paraId="7D8C7051" w14:textId="77777777" w:rsidR="00BC6ADF" w:rsidRPr="00511365" w:rsidRDefault="00BC6ADF" w:rsidP="00621271">
      <w:pPr>
        <w:rPr>
          <w:rFonts w:asciiTheme="minorHAnsi" w:hAnsiTheme="minorHAnsi" w:cstheme="minorHAnsi"/>
          <w:spacing w:val="6"/>
          <w:sz w:val="22"/>
          <w:szCs w:val="22"/>
        </w:rPr>
      </w:pPr>
    </w:p>
    <w:p w14:paraId="0FBDCE63" w14:textId="77777777" w:rsidR="00BC6ADF" w:rsidRPr="00511365" w:rsidRDefault="00BC6ADF" w:rsidP="00621271">
      <w:pPr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La Institución Financiera señala los siguientes datos de contacto, para efectos de cualquier notificación en relación con la Licitación Pública.</w:t>
      </w:r>
    </w:p>
    <w:p w14:paraId="7FA36249" w14:textId="77777777" w:rsidR="00BC6ADF" w:rsidRPr="00511365" w:rsidRDefault="00BC6ADF" w:rsidP="00621271">
      <w:pPr>
        <w:ind w:left="284"/>
        <w:rPr>
          <w:rFonts w:asciiTheme="minorHAnsi" w:hAnsiTheme="minorHAnsi" w:cstheme="minorHAnsi"/>
          <w:spacing w:val="6"/>
          <w:sz w:val="22"/>
          <w:szCs w:val="22"/>
        </w:rPr>
      </w:pPr>
    </w:p>
    <w:p w14:paraId="39FE7ECF" w14:textId="77777777" w:rsidR="00BC6ADF" w:rsidRPr="00511365" w:rsidRDefault="00BC6ADF" w:rsidP="00621271">
      <w:pPr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lastRenderedPageBreak/>
        <w:t>Domicilio: [*]</w:t>
      </w:r>
    </w:p>
    <w:p w14:paraId="7353A170" w14:textId="77777777" w:rsidR="00BC6ADF" w:rsidRPr="00511365" w:rsidRDefault="00BC6ADF" w:rsidP="00621271">
      <w:pPr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Teléfono: [*]</w:t>
      </w:r>
    </w:p>
    <w:p w14:paraId="6A654883" w14:textId="77777777" w:rsidR="00BC6ADF" w:rsidRPr="00511365" w:rsidRDefault="00BC6ADF" w:rsidP="00621271">
      <w:pPr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En atención a: [*]</w:t>
      </w:r>
    </w:p>
    <w:p w14:paraId="4A9BA8F9" w14:textId="77777777" w:rsidR="00BC6ADF" w:rsidRPr="00511365" w:rsidRDefault="00BC6ADF" w:rsidP="00621271">
      <w:pPr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Correo electrónico: [*]</w:t>
      </w:r>
    </w:p>
    <w:p w14:paraId="50AE3B10" w14:textId="77777777" w:rsidR="00BC6ADF" w:rsidRPr="00511365" w:rsidRDefault="00BC6ADF" w:rsidP="00621271">
      <w:pPr>
        <w:jc w:val="center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Atentamente,</w:t>
      </w:r>
    </w:p>
    <w:p w14:paraId="471CB026" w14:textId="77777777" w:rsidR="00BC6ADF" w:rsidRPr="00511365" w:rsidRDefault="00BC6ADF" w:rsidP="00621271">
      <w:pPr>
        <w:jc w:val="center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>[Nombre de la Institución Financiera]</w:t>
      </w:r>
    </w:p>
    <w:p w14:paraId="0FFE953F" w14:textId="77777777" w:rsidR="001F755A" w:rsidRPr="00511365" w:rsidRDefault="001F755A" w:rsidP="00621271">
      <w:pPr>
        <w:jc w:val="center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</w:p>
    <w:p w14:paraId="329E8BC1" w14:textId="77777777" w:rsidR="00BC6ADF" w:rsidRPr="00511365" w:rsidRDefault="00BC6ADF" w:rsidP="00621271">
      <w:pPr>
        <w:jc w:val="center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>____________________________</w:t>
      </w:r>
    </w:p>
    <w:p w14:paraId="07643ED0" w14:textId="77777777" w:rsidR="00BC6ADF" w:rsidRPr="00621271" w:rsidRDefault="00BC6ADF" w:rsidP="00621271">
      <w:pPr>
        <w:jc w:val="center"/>
        <w:rPr>
          <w:rFonts w:asciiTheme="minorHAnsi" w:hAnsiTheme="minorHAnsi" w:cstheme="minorHAnsi"/>
          <w:spacing w:val="6"/>
          <w:sz w:val="22"/>
          <w:szCs w:val="22"/>
        </w:rPr>
      </w:pPr>
      <w:r w:rsidRPr="00511365">
        <w:rPr>
          <w:rFonts w:asciiTheme="minorHAnsi" w:hAnsiTheme="minorHAnsi" w:cstheme="minorHAnsi"/>
          <w:spacing w:val="6"/>
          <w:sz w:val="22"/>
          <w:szCs w:val="22"/>
        </w:rPr>
        <w:t>[Nombre del representante]</w:t>
      </w:r>
    </w:p>
    <w:p w14:paraId="36A39B88" w14:textId="34B04164" w:rsidR="005E09B1" w:rsidRDefault="005E09B1" w:rsidP="00621271">
      <w:pPr>
        <w:rPr>
          <w:rFonts w:asciiTheme="minorHAnsi" w:hAnsiTheme="minorHAnsi" w:cstheme="minorHAnsi"/>
          <w:spacing w:val="6"/>
          <w:sz w:val="22"/>
          <w:szCs w:val="22"/>
        </w:rPr>
      </w:pPr>
    </w:p>
    <w:p w14:paraId="143FBFB1" w14:textId="77777777" w:rsidR="001F755A" w:rsidRPr="00621271" w:rsidRDefault="001F755A" w:rsidP="00621271">
      <w:pPr>
        <w:rPr>
          <w:rFonts w:asciiTheme="minorHAnsi" w:hAnsiTheme="minorHAnsi" w:cstheme="minorHAnsi"/>
          <w:sz w:val="22"/>
          <w:szCs w:val="22"/>
        </w:rPr>
      </w:pPr>
    </w:p>
    <w:sectPr w:rsidR="001F755A" w:rsidRPr="00621271" w:rsidSect="002C70E6">
      <w:headerReference w:type="default" r:id="rId7"/>
      <w:footerReference w:type="default" r:id="rId8"/>
      <w:pgSz w:w="12240" w:h="15840" w:code="1"/>
      <w:pgMar w:top="1701" w:right="1701" w:bottom="1701" w:left="170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9DBA" w14:textId="77777777" w:rsidR="0029185C" w:rsidRDefault="0029185C" w:rsidP="00676EB4">
      <w:r>
        <w:separator/>
      </w:r>
    </w:p>
  </w:endnote>
  <w:endnote w:type="continuationSeparator" w:id="0">
    <w:p w14:paraId="02D2C57E" w14:textId="77777777" w:rsidR="0029185C" w:rsidRDefault="0029185C" w:rsidP="0067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itál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4F11" w14:textId="44CE27C8" w:rsidR="00E36A94" w:rsidRDefault="00D60E58" w:rsidP="00B2234E">
    <w:pPr>
      <w:pStyle w:val="Piedepgina"/>
      <w:tabs>
        <w:tab w:val="clear" w:pos="4419"/>
        <w:tab w:val="clear" w:pos="8838"/>
        <w:tab w:val="left" w:pos="6237"/>
        <w:tab w:val="right" w:pos="9639"/>
      </w:tabs>
      <w:ind w:right="850" w:firstLine="3544"/>
      <w:jc w:val="center"/>
      <w:rPr>
        <w:rFonts w:ascii="Arial itálica" w:hAnsi="Arial itálica" w:cs="Arial" w:hint="eastAsia"/>
        <w:i/>
        <w:sz w:val="14"/>
        <w:szCs w:val="14"/>
      </w:rPr>
    </w:pPr>
    <w:r w:rsidRPr="00142B53">
      <w:rPr>
        <w:noProof/>
        <w:sz w:val="22"/>
        <w:lang w:eastAsia="es-MX"/>
      </w:rPr>
      <w:drawing>
        <wp:anchor distT="0" distB="0" distL="114300" distR="114300" simplePos="0" relativeHeight="251659264" behindDoc="1" locked="0" layoutInCell="1" allowOverlap="1" wp14:anchorId="45A94B47" wp14:editId="665D02E1">
          <wp:simplePos x="0" y="0"/>
          <wp:positionH relativeFrom="page">
            <wp:posOffset>0</wp:posOffset>
          </wp:positionH>
          <wp:positionV relativeFrom="page">
            <wp:posOffset>8670925</wp:posOffset>
          </wp:positionV>
          <wp:extent cx="7803515" cy="137985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32"/>
                  <a:stretch/>
                </pic:blipFill>
                <pic:spPr bwMode="auto">
                  <a:xfrm>
                    <a:off x="0" y="0"/>
                    <a:ext cx="7803515" cy="1379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2104231630"/>
      <w:docPartObj>
        <w:docPartGallery w:val="Page Numbers (Bottom of Page)"/>
        <w:docPartUnique/>
      </w:docPartObj>
    </w:sdtPr>
    <w:sdtEndPr/>
    <w:sdtContent>
      <w:sdt>
        <w:sdtPr>
          <w:id w:val="-1125999273"/>
          <w:docPartObj>
            <w:docPartGallery w:val="Page Numbers (Bottom of Page)"/>
            <w:docPartUnique/>
          </w:docPartObj>
        </w:sdtPr>
        <w:sdtEndPr/>
        <w:sdtContent>
          <w:p w14:paraId="2F563AA9" w14:textId="77777777" w:rsidR="00872839" w:rsidRDefault="00D60E58" w:rsidP="00EC56C8">
            <w:pPr>
              <w:pStyle w:val="Piedepgina"/>
              <w:tabs>
                <w:tab w:val="left" w:pos="4962"/>
              </w:tabs>
              <w:ind w:right="850" w:firstLine="2410"/>
            </w:pPr>
            <w:r>
              <w:t xml:space="preserve">                </w:t>
            </w:r>
          </w:p>
          <w:p w14:paraId="5B627D0E" w14:textId="2E874F99" w:rsidR="00D60E58" w:rsidRDefault="00D60E58" w:rsidP="00EC56C8">
            <w:pPr>
              <w:pStyle w:val="Piedepgina"/>
              <w:tabs>
                <w:tab w:val="left" w:pos="4962"/>
              </w:tabs>
              <w:ind w:right="850" w:firstLine="2410"/>
              <w:jc w:val="center"/>
              <w:rPr>
                <w:rFonts w:ascii="Arial itálica" w:hAnsi="Arial itálica" w:cs="Arial" w:hint="eastAsia"/>
                <w:i/>
                <w:sz w:val="14"/>
                <w:szCs w:val="14"/>
              </w:rPr>
            </w:pPr>
            <w:r w:rsidRPr="00464687">
              <w:rPr>
                <w:rFonts w:ascii="Arial itálica" w:hAnsi="Arial itálica" w:cs="Arial"/>
                <w:i/>
                <w:sz w:val="14"/>
                <w:szCs w:val="14"/>
              </w:rPr>
              <w:t>“202</w:t>
            </w:r>
            <w:r>
              <w:rPr>
                <w:rFonts w:ascii="Arial itálica" w:hAnsi="Arial itálica" w:cs="Arial"/>
                <w:i/>
                <w:sz w:val="14"/>
                <w:szCs w:val="14"/>
              </w:rPr>
              <w:t>3</w:t>
            </w:r>
            <w:r w:rsidRPr="00464687">
              <w:rPr>
                <w:rFonts w:ascii="Arial itálica" w:hAnsi="Arial itálica" w:cs="Arial"/>
                <w:i/>
                <w:sz w:val="14"/>
                <w:szCs w:val="14"/>
              </w:rPr>
              <w:t xml:space="preserve">, </w:t>
            </w:r>
            <w:r>
              <w:rPr>
                <w:rFonts w:ascii="Arial itálica" w:hAnsi="Arial itálica" w:cs="Arial"/>
                <w:i/>
                <w:sz w:val="14"/>
                <w:szCs w:val="14"/>
              </w:rPr>
              <w:t>Centenario de la muerte del General Francisco Villa”</w:t>
            </w:r>
          </w:p>
          <w:p w14:paraId="6C646C2F" w14:textId="18055D5A" w:rsidR="00D60E58" w:rsidRDefault="00D60E58" w:rsidP="00EC56C8">
            <w:pPr>
              <w:pStyle w:val="Piedepgina"/>
              <w:tabs>
                <w:tab w:val="left" w:pos="4962"/>
                <w:tab w:val="left" w:pos="6804"/>
              </w:tabs>
              <w:ind w:right="850" w:firstLine="2410"/>
              <w:jc w:val="center"/>
              <w:rPr>
                <w:rFonts w:ascii="Arial itálica" w:hAnsi="Arial itálica" w:cs="Arial" w:hint="eastAsia"/>
                <w:i/>
                <w:sz w:val="14"/>
                <w:szCs w:val="14"/>
              </w:rPr>
            </w:pPr>
            <w:r>
              <w:rPr>
                <w:rFonts w:ascii="Arial itálica" w:hAnsi="Arial itálica" w:cs="Arial"/>
                <w:i/>
                <w:sz w:val="14"/>
                <w:szCs w:val="14"/>
              </w:rPr>
              <w:t>“2023, Cien años del Rotarismo en Chihuahua”</w:t>
            </w:r>
          </w:p>
          <w:p w14:paraId="639728B4" w14:textId="77777777" w:rsidR="00D60E58" w:rsidRPr="0023092C" w:rsidRDefault="00D60E58" w:rsidP="00D60E58">
            <w:pPr>
              <w:pStyle w:val="Piedepgina"/>
              <w:tabs>
                <w:tab w:val="clear" w:pos="4419"/>
                <w:tab w:val="clear" w:pos="8838"/>
                <w:tab w:val="left" w:pos="4962"/>
                <w:tab w:val="left" w:pos="6804"/>
              </w:tabs>
              <w:ind w:right="850" w:firstLine="1701"/>
              <w:jc w:val="center"/>
              <w:rPr>
                <w:rFonts w:ascii="Arial itálica" w:hAnsi="Arial itálica" w:cs="Arial" w:hint="eastAsia"/>
                <w:sz w:val="12"/>
                <w:szCs w:val="16"/>
              </w:rPr>
            </w:pPr>
          </w:p>
          <w:p w14:paraId="3901754E" w14:textId="77777777" w:rsidR="00D60E58" w:rsidRPr="00464687" w:rsidRDefault="00D60E58" w:rsidP="00D60E58">
            <w:pPr>
              <w:pStyle w:val="Piedepgina"/>
              <w:tabs>
                <w:tab w:val="clear" w:pos="4419"/>
                <w:tab w:val="clear" w:pos="8838"/>
                <w:tab w:val="left" w:pos="6237"/>
                <w:tab w:val="right" w:pos="9639"/>
              </w:tabs>
              <w:ind w:right="850" w:firstLine="3261"/>
              <w:jc w:val="center"/>
              <w:rPr>
                <w:rFonts w:ascii="Arial itálica" w:hAnsi="Arial itálica" w:cs="Arial" w:hint="eastAsia"/>
                <w:sz w:val="8"/>
                <w:szCs w:val="16"/>
              </w:rPr>
            </w:pPr>
          </w:p>
          <w:p w14:paraId="07FE0B1B" w14:textId="36931D0C" w:rsidR="00D60E58" w:rsidRPr="00142B53" w:rsidRDefault="00D60E58" w:rsidP="00D60E58">
            <w:pPr>
              <w:pStyle w:val="Piedepgina"/>
              <w:tabs>
                <w:tab w:val="clear" w:pos="8838"/>
              </w:tabs>
              <w:ind w:left="3261" w:hanging="56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42B53">
              <w:rPr>
                <w:rFonts w:ascii="Arial" w:hAnsi="Arial" w:cs="Arial"/>
                <w:sz w:val="14"/>
                <w:szCs w:val="16"/>
              </w:rPr>
              <w:t>Edificio Héroes de Reforma, Av. Venustiano Carranza No. 601, Col. Obrera, Chihuahua, Chih.</w:t>
            </w:r>
          </w:p>
          <w:p w14:paraId="37FCAF26" w14:textId="77777777" w:rsidR="00D60E58" w:rsidRPr="00142B53" w:rsidRDefault="00D60E58" w:rsidP="00D60E58">
            <w:pPr>
              <w:pStyle w:val="Piedepgina"/>
              <w:tabs>
                <w:tab w:val="clear" w:pos="8838"/>
              </w:tabs>
              <w:ind w:left="326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42B53">
              <w:rPr>
                <w:rFonts w:ascii="Arial" w:hAnsi="Arial" w:cs="Arial"/>
                <w:sz w:val="14"/>
                <w:szCs w:val="16"/>
              </w:rPr>
              <w:t xml:space="preserve">Teléfono (614) 429-3300 </w:t>
            </w:r>
          </w:p>
          <w:p w14:paraId="73D82250" w14:textId="77777777" w:rsidR="00D60E58" w:rsidRPr="00226B8F" w:rsidRDefault="0029185C" w:rsidP="00D60E58">
            <w:pPr>
              <w:pStyle w:val="Piedepgina"/>
              <w:tabs>
                <w:tab w:val="clear" w:pos="8838"/>
              </w:tabs>
              <w:ind w:left="3261"/>
              <w:jc w:val="center"/>
              <w:rPr>
                <w:rFonts w:ascii="Arial" w:hAnsi="Arial" w:cs="Arial"/>
                <w:sz w:val="14"/>
                <w:szCs w:val="16"/>
              </w:rPr>
            </w:pPr>
            <w:hyperlink r:id="rId2" w:history="1">
              <w:r w:rsidR="00D60E58" w:rsidRPr="006914B6">
                <w:rPr>
                  <w:rStyle w:val="Hipervnculo"/>
                  <w:rFonts w:ascii="Arial" w:hAnsi="Arial" w:cs="Arial"/>
                  <w:sz w:val="14"/>
                </w:rPr>
                <w:t>www.chihuahua.gob.mx</w:t>
              </w:r>
            </w:hyperlink>
            <w:r w:rsidR="00D60E58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sdtContent>
      </w:sdt>
    </w:sdtContent>
  </w:sdt>
  <w:p w14:paraId="2803A71F" w14:textId="2D57F33E" w:rsidR="00676EB4" w:rsidRPr="00B2234E" w:rsidRDefault="00676EB4">
    <w:pPr>
      <w:pStyle w:val="Piedepgina"/>
      <w:jc w:val="right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2808" w14:textId="77777777" w:rsidR="0029185C" w:rsidRDefault="0029185C" w:rsidP="00676EB4">
      <w:r>
        <w:separator/>
      </w:r>
    </w:p>
  </w:footnote>
  <w:footnote w:type="continuationSeparator" w:id="0">
    <w:p w14:paraId="531487F0" w14:textId="77777777" w:rsidR="0029185C" w:rsidRDefault="0029185C" w:rsidP="0067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4E61" w14:textId="77777777" w:rsidR="00BC6ADF" w:rsidRPr="00621271" w:rsidRDefault="00BC6ADF" w:rsidP="00BC6ADF">
    <w:pPr>
      <w:tabs>
        <w:tab w:val="left" w:pos="4750"/>
        <w:tab w:val="left" w:pos="8546"/>
      </w:tabs>
      <w:ind w:right="-175"/>
      <w:jc w:val="right"/>
      <w:rPr>
        <w:rFonts w:asciiTheme="majorHAnsi" w:eastAsia="Batang" w:hAnsiTheme="majorHAnsi" w:cs="Calibri"/>
        <w:i/>
        <w:iCs/>
      </w:rPr>
    </w:pPr>
    <w:r w:rsidRPr="00621271">
      <w:rPr>
        <w:rFonts w:asciiTheme="majorHAnsi" w:eastAsia="Dotum" w:hAnsiTheme="majorHAnsi" w:cs="Calibri"/>
        <w:b/>
        <w:iCs/>
        <w:color w:val="262626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t>SECRETARÍA DE HACIENDA</w:t>
    </w:r>
  </w:p>
  <w:p w14:paraId="779BC43D" w14:textId="77777777" w:rsidR="00BC6ADF" w:rsidRPr="00621271" w:rsidRDefault="00BC6ADF" w:rsidP="00BC6ADF">
    <w:pPr>
      <w:tabs>
        <w:tab w:val="left" w:pos="3544"/>
        <w:tab w:val="left" w:pos="8546"/>
      </w:tabs>
      <w:ind w:left="2694" w:right="-175" w:hanging="1844"/>
      <w:jc w:val="right"/>
      <w:rPr>
        <w:rFonts w:asciiTheme="majorHAnsi" w:eastAsia="Dotum" w:hAnsiTheme="majorHAnsi" w:cs="Calibri"/>
        <w:b/>
        <w:iCs/>
        <w:color w:val="262626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</w:pPr>
    <w:r w:rsidRPr="00621271">
      <w:rPr>
        <w:rFonts w:asciiTheme="majorHAnsi" w:eastAsia="Dotum" w:hAnsiTheme="majorHAnsi" w:cs="Calibri"/>
        <w:b/>
        <w:iCs/>
        <w:color w:val="262626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t>DESPACHO DEL SECRETARIO</w:t>
    </w:r>
  </w:p>
  <w:p w14:paraId="41B96C32" w14:textId="77777777" w:rsidR="00872839" w:rsidRPr="00A71045" w:rsidRDefault="00872839" w:rsidP="00676EB4">
    <w:pPr>
      <w:ind w:right="49"/>
      <w:jc w:val="right"/>
      <w:rPr>
        <w:rFonts w:ascii="Arial" w:hAnsi="Arial" w:cs="Arial"/>
        <w:b/>
        <w:szCs w:val="22"/>
      </w:rPr>
    </w:pPr>
  </w:p>
  <w:p w14:paraId="5F70B757" w14:textId="77777777" w:rsidR="00676EB4" w:rsidRPr="00A71045" w:rsidRDefault="00676EB4" w:rsidP="00B92DE9">
    <w:pPr>
      <w:ind w:right="49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A44"/>
    <w:multiLevelType w:val="multilevel"/>
    <w:tmpl w:val="FFD41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FEF"/>
    <w:multiLevelType w:val="multilevel"/>
    <w:tmpl w:val="9926DEEC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>
      <w:start w:val="9"/>
      <w:numFmt w:val="decimal"/>
      <w:isLgl/>
      <w:lvlText w:val="%1.%2"/>
      <w:lvlJc w:val="left"/>
      <w:pPr>
        <w:ind w:left="930" w:hanging="570"/>
      </w:pPr>
      <w:rPr>
        <w:rFonts w:eastAsia="Arial Unicode MS" w:hint="default"/>
        <w:w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  <w:w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  <w:w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  <w:w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  <w:w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  <w:w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  <w:w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  <w:w w:val="0"/>
      </w:rPr>
    </w:lvl>
  </w:abstractNum>
  <w:abstractNum w:abstractNumId="3" w15:restartNumberingAfterBreak="0">
    <w:nsid w:val="21480C39"/>
    <w:multiLevelType w:val="hybridMultilevel"/>
    <w:tmpl w:val="DB9A32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DA41C4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149F"/>
    <w:multiLevelType w:val="hybridMultilevel"/>
    <w:tmpl w:val="A06E3EF6"/>
    <w:lvl w:ilvl="0" w:tplc="6BE81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75085F"/>
    <w:multiLevelType w:val="hybridMultilevel"/>
    <w:tmpl w:val="DADA5E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984"/>
    <w:multiLevelType w:val="hybridMultilevel"/>
    <w:tmpl w:val="14A0AAAC"/>
    <w:lvl w:ilvl="0" w:tplc="5DA61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E0760"/>
    <w:multiLevelType w:val="hybridMultilevel"/>
    <w:tmpl w:val="7B68D0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8EA"/>
    <w:multiLevelType w:val="hybridMultilevel"/>
    <w:tmpl w:val="B71E8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20E2E"/>
    <w:multiLevelType w:val="hybridMultilevel"/>
    <w:tmpl w:val="DDDCF5D0"/>
    <w:lvl w:ilvl="0" w:tplc="F132B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A585F"/>
    <w:multiLevelType w:val="multilevel"/>
    <w:tmpl w:val="742E6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4B50EE"/>
    <w:multiLevelType w:val="multilevel"/>
    <w:tmpl w:val="0C44F6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0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  <w:b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31"/>
    <w:rsid w:val="00047E62"/>
    <w:rsid w:val="000549FA"/>
    <w:rsid w:val="00083131"/>
    <w:rsid w:val="000C4DCF"/>
    <w:rsid w:val="000D2588"/>
    <w:rsid w:val="000D3050"/>
    <w:rsid w:val="000F0FB1"/>
    <w:rsid w:val="000F24FF"/>
    <w:rsid w:val="00105D77"/>
    <w:rsid w:val="0011170C"/>
    <w:rsid w:val="0011308F"/>
    <w:rsid w:val="0015367C"/>
    <w:rsid w:val="0019787C"/>
    <w:rsid w:val="001B1CE4"/>
    <w:rsid w:val="001F755A"/>
    <w:rsid w:val="002017B8"/>
    <w:rsid w:val="00202D2F"/>
    <w:rsid w:val="00235CDD"/>
    <w:rsid w:val="0027559F"/>
    <w:rsid w:val="0029185C"/>
    <w:rsid w:val="002956B6"/>
    <w:rsid w:val="002C70E6"/>
    <w:rsid w:val="002E57C8"/>
    <w:rsid w:val="002F1D08"/>
    <w:rsid w:val="00302ABD"/>
    <w:rsid w:val="003061D2"/>
    <w:rsid w:val="00320C59"/>
    <w:rsid w:val="00360FA5"/>
    <w:rsid w:val="00372950"/>
    <w:rsid w:val="00376722"/>
    <w:rsid w:val="00395864"/>
    <w:rsid w:val="003B48BF"/>
    <w:rsid w:val="003B7A42"/>
    <w:rsid w:val="003E2597"/>
    <w:rsid w:val="00402C46"/>
    <w:rsid w:val="00441877"/>
    <w:rsid w:val="00456431"/>
    <w:rsid w:val="0045748E"/>
    <w:rsid w:val="004A2678"/>
    <w:rsid w:val="004C7370"/>
    <w:rsid w:val="004F5F7F"/>
    <w:rsid w:val="005017C1"/>
    <w:rsid w:val="005036B0"/>
    <w:rsid w:val="00511365"/>
    <w:rsid w:val="0052048C"/>
    <w:rsid w:val="0052179B"/>
    <w:rsid w:val="005256A9"/>
    <w:rsid w:val="005C7D6A"/>
    <w:rsid w:val="005D6EA7"/>
    <w:rsid w:val="005E09B1"/>
    <w:rsid w:val="00621271"/>
    <w:rsid w:val="00666092"/>
    <w:rsid w:val="00676EB4"/>
    <w:rsid w:val="006873CE"/>
    <w:rsid w:val="006A332A"/>
    <w:rsid w:val="006B030A"/>
    <w:rsid w:val="006B5C45"/>
    <w:rsid w:val="006C4310"/>
    <w:rsid w:val="006C64C1"/>
    <w:rsid w:val="006C776E"/>
    <w:rsid w:val="006D10EA"/>
    <w:rsid w:val="00734299"/>
    <w:rsid w:val="007A172F"/>
    <w:rsid w:val="007B6432"/>
    <w:rsid w:val="007C6C53"/>
    <w:rsid w:val="007D2CEE"/>
    <w:rsid w:val="007E333F"/>
    <w:rsid w:val="007F7C40"/>
    <w:rsid w:val="0084289A"/>
    <w:rsid w:val="00872839"/>
    <w:rsid w:val="00874196"/>
    <w:rsid w:val="008E0C15"/>
    <w:rsid w:val="008F40FF"/>
    <w:rsid w:val="0091490D"/>
    <w:rsid w:val="0092575E"/>
    <w:rsid w:val="00942358"/>
    <w:rsid w:val="00975000"/>
    <w:rsid w:val="009B1229"/>
    <w:rsid w:val="00A15C16"/>
    <w:rsid w:val="00A71045"/>
    <w:rsid w:val="00AA435F"/>
    <w:rsid w:val="00AE6A4B"/>
    <w:rsid w:val="00B0272B"/>
    <w:rsid w:val="00B04C42"/>
    <w:rsid w:val="00B2234E"/>
    <w:rsid w:val="00B50755"/>
    <w:rsid w:val="00B5107A"/>
    <w:rsid w:val="00B71A5C"/>
    <w:rsid w:val="00B839BE"/>
    <w:rsid w:val="00B92DE9"/>
    <w:rsid w:val="00B96B7D"/>
    <w:rsid w:val="00BB7F4B"/>
    <w:rsid w:val="00BC0E49"/>
    <w:rsid w:val="00BC34B6"/>
    <w:rsid w:val="00BC6ADF"/>
    <w:rsid w:val="00BF356C"/>
    <w:rsid w:val="00BF503A"/>
    <w:rsid w:val="00BF7EF8"/>
    <w:rsid w:val="00C02318"/>
    <w:rsid w:val="00C35E92"/>
    <w:rsid w:val="00C3701A"/>
    <w:rsid w:val="00C44F5D"/>
    <w:rsid w:val="00C50FE4"/>
    <w:rsid w:val="00C56B90"/>
    <w:rsid w:val="00C64C03"/>
    <w:rsid w:val="00C739CA"/>
    <w:rsid w:val="00CE000A"/>
    <w:rsid w:val="00CF7C1F"/>
    <w:rsid w:val="00D27F0D"/>
    <w:rsid w:val="00D60E58"/>
    <w:rsid w:val="00D67B1F"/>
    <w:rsid w:val="00D72C6E"/>
    <w:rsid w:val="00D83998"/>
    <w:rsid w:val="00D858CB"/>
    <w:rsid w:val="00D912A5"/>
    <w:rsid w:val="00D9329A"/>
    <w:rsid w:val="00DB79EF"/>
    <w:rsid w:val="00E36A94"/>
    <w:rsid w:val="00E435F9"/>
    <w:rsid w:val="00E57F3E"/>
    <w:rsid w:val="00E60237"/>
    <w:rsid w:val="00EB0CA4"/>
    <w:rsid w:val="00EC56C8"/>
    <w:rsid w:val="00EC60B0"/>
    <w:rsid w:val="00ED4FF9"/>
    <w:rsid w:val="00F07433"/>
    <w:rsid w:val="00F33B2E"/>
    <w:rsid w:val="00F532C4"/>
    <w:rsid w:val="00F6317A"/>
    <w:rsid w:val="00F725E0"/>
    <w:rsid w:val="00F83D02"/>
    <w:rsid w:val="00FA0019"/>
    <w:rsid w:val="00FA1A34"/>
    <w:rsid w:val="00FC3DDA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5F4A9"/>
  <w15:docId w15:val="{5EF9827B-A61A-8F4E-96E4-4741CDB7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31"/>
    <w:rPr>
      <w:rFonts w:ascii="Verdana" w:hAnsi="Verdan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7559F"/>
    <w:pPr>
      <w:keepNext/>
      <w:spacing w:before="120" w:after="120" w:line="360" w:lineRule="auto"/>
      <w:ind w:left="708" w:hanging="708"/>
      <w:outlineLvl w:val="0"/>
    </w:pPr>
    <w:rPr>
      <w:rFonts w:ascii="Constantia" w:hAnsi="Constantia" w:cs="Arial"/>
      <w:b/>
      <w:bCs/>
      <w:kern w:val="32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559F"/>
    <w:rPr>
      <w:rFonts w:ascii="Constantia" w:hAnsi="Constantia" w:cs="Arial"/>
      <w:b/>
      <w:bCs/>
      <w:kern w:val="32"/>
      <w:sz w:val="26"/>
      <w:szCs w:val="26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27559F"/>
    <w:pPr>
      <w:spacing w:before="120" w:after="120" w:line="360" w:lineRule="auto"/>
      <w:ind w:left="90"/>
      <w:jc w:val="both"/>
    </w:pPr>
    <w:rPr>
      <w:rFonts w:ascii="Constantia" w:hAnsi="Constantia"/>
      <w:b/>
      <w:sz w:val="26"/>
      <w:szCs w:val="26"/>
    </w:rPr>
  </w:style>
  <w:style w:type="character" w:customStyle="1" w:styleId="SubttuloCar">
    <w:name w:val="Subtítulo Car"/>
    <w:basedOn w:val="Fuentedeprrafopredeter"/>
    <w:link w:val="Subttulo"/>
    <w:rsid w:val="0027559F"/>
    <w:rPr>
      <w:rFonts w:ascii="Constantia" w:hAnsi="Constantia"/>
      <w:b/>
      <w:sz w:val="26"/>
      <w:szCs w:val="26"/>
      <w:lang w:eastAsia="es-ES"/>
    </w:rPr>
  </w:style>
  <w:style w:type="paragraph" w:styleId="Prrafodelista">
    <w:name w:val="List Paragraph"/>
    <w:aliases w:val="lp1,List Paragraph1,Listas,Bullet Number,lp11,List Paragraph11,Bullet 1,Use Case List Paragraph"/>
    <w:basedOn w:val="Normal"/>
    <w:link w:val="PrrafodelistaCar"/>
    <w:uiPriority w:val="34"/>
    <w:qFormat/>
    <w:rsid w:val="002755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6E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EB4"/>
    <w:rPr>
      <w:rFonts w:ascii="Verdana" w:hAnsi="Verdan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6E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EB4"/>
    <w:rPr>
      <w:rFonts w:ascii="Verdana" w:hAnsi="Verdana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76EB4"/>
    <w:pPr>
      <w:spacing w:after="120"/>
    </w:pPr>
    <w:rPr>
      <w:rFonts w:ascii="Times New Roman" w:eastAsia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76EB4"/>
    <w:rPr>
      <w:rFonts w:eastAsia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676EB4"/>
    <w:pPr>
      <w:spacing w:after="120" w:line="480" w:lineRule="auto"/>
    </w:pPr>
    <w:rPr>
      <w:rFonts w:ascii="Times New Roman" w:eastAsia="Times New Roman" w:hAnsi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76EB4"/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E9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B2234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C6A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AD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C6A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6A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6ADF"/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BC6A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Listas Car,Bullet Number Car,lp11 Car,List Paragraph11 Car,Bullet 1 Car,Use Case List Paragraph Car"/>
    <w:link w:val="Prrafodelista"/>
    <w:uiPriority w:val="34"/>
    <w:locked/>
    <w:rsid w:val="00BC6ADF"/>
    <w:rPr>
      <w:rFonts w:ascii="Verdana" w:hAnsi="Verdana"/>
      <w:sz w:val="24"/>
      <w:szCs w:val="24"/>
      <w:lang w:eastAsia="es-ES"/>
    </w:rPr>
  </w:style>
  <w:style w:type="table" w:customStyle="1" w:styleId="TableGrid1">
    <w:name w:val="Table Grid1"/>
    <w:basedOn w:val="Tablanormal"/>
    <w:next w:val="Tablaconcuadrcula"/>
    <w:uiPriority w:val="39"/>
    <w:rsid w:val="00BC6A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E000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F5F7F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45748E"/>
    <w:rPr>
      <w:rFonts w:ascii="Verdana" w:hAnsi="Verdan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huahua.gob.mx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1346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Ilse Torres</cp:lastModifiedBy>
  <cp:revision>4</cp:revision>
  <cp:lastPrinted>2023-09-14T18:19:00Z</cp:lastPrinted>
  <dcterms:created xsi:type="dcterms:W3CDTF">2023-09-14T18:11:00Z</dcterms:created>
  <dcterms:modified xsi:type="dcterms:W3CDTF">2023-09-18T17:20:00Z</dcterms:modified>
</cp:coreProperties>
</file>