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bookmarkStart w:id="0" w:name="_GoBack"/>
      <w:bookmarkEnd w:id="0"/>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F72F2E">
        <w:rPr>
          <w:rFonts w:ascii="Times New Roman" w:eastAsia="Times New Roman" w:hAnsi="Times New Roman" w:cs="Times New Roman"/>
          <w:b/>
          <w:bCs/>
          <w:sz w:val="20"/>
          <w:lang w:val="es-ES_tradnl"/>
        </w:rPr>
        <w:t>1</w:t>
      </w:r>
      <w:r w:rsidR="00FD5C59">
        <w:rPr>
          <w:rFonts w:ascii="Times New Roman" w:eastAsia="Times New Roman" w:hAnsi="Times New Roman" w:cs="Times New Roman"/>
          <w:b/>
          <w:bCs/>
          <w:sz w:val="20"/>
          <w:lang w:val="es-ES_tradnl"/>
        </w:rPr>
        <w:t xml:space="preserve"> de </w:t>
      </w:r>
      <w:r w:rsidR="00F72F2E">
        <w:rPr>
          <w:rFonts w:ascii="Times New Roman" w:eastAsia="Times New Roman" w:hAnsi="Times New Roman" w:cs="Times New Roman"/>
          <w:b/>
          <w:bCs/>
          <w:sz w:val="20"/>
          <w:lang w:val="es-ES_tradnl"/>
        </w:rPr>
        <w:t>dic</w:t>
      </w:r>
      <w:r w:rsidR="00EF6E81">
        <w:rPr>
          <w:rFonts w:ascii="Times New Roman" w:eastAsia="Times New Roman" w:hAnsi="Times New Roman" w:cs="Times New Roman"/>
          <w:b/>
          <w:bCs/>
          <w:sz w:val="20"/>
          <w:lang w:val="es-ES_tradnl"/>
        </w:rPr>
        <w:t>iembre</w:t>
      </w:r>
      <w:r w:rsidR="00C11188" w:rsidRPr="00C11188">
        <w:rPr>
          <w:rFonts w:ascii="Times New Roman" w:eastAsia="Times New Roman" w:hAnsi="Times New Roman" w:cs="Times New Roman"/>
          <w:b/>
          <w:bCs/>
          <w:sz w:val="20"/>
          <w:lang w:val="es-ES_tradnl"/>
        </w:rPr>
        <w:t xml:space="preserve"> de</w:t>
      </w:r>
      <w:r w:rsidR="00FD5C59">
        <w:rPr>
          <w:rFonts w:ascii="Times New Roman" w:eastAsia="Times New Roman" w:hAnsi="Times New Roman" w:cs="Times New Roman"/>
          <w:b/>
          <w:bCs/>
          <w:sz w:val="20"/>
          <w:lang w:val="es-ES_tradnl"/>
        </w:rPr>
        <w:t xml:space="preserve"> 2018 y </w:t>
      </w:r>
      <w:r w:rsidR="0096670B">
        <w:rPr>
          <w:rFonts w:ascii="Times New Roman" w:eastAsia="Times New Roman" w:hAnsi="Times New Roman" w:cs="Times New Roman"/>
          <w:b/>
          <w:bCs/>
          <w:sz w:val="20"/>
          <w:lang w:val="es-ES_tradnl"/>
        </w:rPr>
        <w:t>2017</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Pr="00C11188" w:rsidRDefault="00C11188" w:rsidP="00C11188">
      <w:pPr>
        <w:spacing w:after="0" w:line="240" w:lineRule="auto"/>
        <w:ind w:firstLine="720"/>
        <w:rPr>
          <w:rFonts w:ascii="Times New Roman" w:eastAsia="Times New Roman" w:hAnsi="Times New Roman" w:cs="Times New Roman"/>
          <w:b/>
          <w:bCs/>
          <w:sz w:val="20"/>
        </w:rPr>
      </w:pPr>
    </w:p>
    <w:p w:rsidR="00C11188" w:rsidRPr="00C34233"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96670B">
        <w:rPr>
          <w:rFonts w:ascii="Times New Roman" w:eastAsia="Times New Roman" w:hAnsi="Times New Roman" w:cs="Times New Roman"/>
          <w:sz w:val="20"/>
          <w:szCs w:val="20"/>
          <w:lang w:val="es-ES_tradnl"/>
        </w:rPr>
        <w:t>enero al 31 de diciembre de 2018</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96670B">
        <w:rPr>
          <w:rFonts w:ascii="Times New Roman" w:eastAsia="Times New Roman" w:hAnsi="Times New Roman" w:cs="Times New Roman"/>
          <w:sz w:val="20"/>
          <w:szCs w:val="20"/>
          <w:lang w:val="es-ES_tradnl"/>
        </w:rPr>
        <w:t>huahua para el ejercicio de 2018</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LXV/APLIE/0666/2017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LXV/APPEE/0667/2017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P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F72F2E">
        <w:rPr>
          <w:rFonts w:ascii="Times New Roman" w:eastAsia="Times New Roman" w:hAnsi="Times New Roman" w:cs="Times New Roman"/>
          <w:sz w:val="20"/>
          <w:szCs w:val="20"/>
          <w:lang w:val="es-ES_tradnl"/>
        </w:rPr>
        <w:t>Contable vigentes al 31</w:t>
      </w:r>
      <w:r w:rsidR="00EC63F8">
        <w:rPr>
          <w:rFonts w:ascii="Times New Roman" w:eastAsia="Times New Roman" w:hAnsi="Times New Roman" w:cs="Times New Roman"/>
          <w:sz w:val="20"/>
          <w:szCs w:val="20"/>
          <w:lang w:val="es-ES_tradnl"/>
        </w:rPr>
        <w:t xml:space="preserve"> de </w:t>
      </w:r>
      <w:r w:rsidR="00F72F2E">
        <w:rPr>
          <w:rFonts w:ascii="Times New Roman" w:eastAsia="Times New Roman" w:hAnsi="Times New Roman" w:cs="Times New Roman"/>
          <w:sz w:val="20"/>
          <w:szCs w:val="20"/>
          <w:lang w:val="es-ES_tradnl"/>
        </w:rPr>
        <w:t>dic</w:t>
      </w:r>
      <w:r w:rsidR="00EF6E81">
        <w:rPr>
          <w:rFonts w:ascii="Times New Roman" w:eastAsia="Times New Roman" w:hAnsi="Times New Roman" w:cs="Times New Roman"/>
          <w:sz w:val="20"/>
          <w:szCs w:val="20"/>
          <w:lang w:val="es-ES_tradnl"/>
        </w:rPr>
        <w:t>iembre</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w:t>
      </w:r>
    </w:p>
    <w:p w:rsidR="00C11188" w:rsidRPr="00EF6E81"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6428BF">
        <w:rPr>
          <w:rFonts w:ascii="Times New Roman" w:eastAsia="Times New Roman" w:hAnsi="Times New Roman" w:cs="Times New Roman"/>
          <w:color w:val="000000"/>
          <w:sz w:val="20"/>
          <w:szCs w:val="20"/>
          <w:lang w:val="es-ES_tradnl"/>
        </w:rPr>
        <w:t>nancieros y notas al 3</w:t>
      </w:r>
      <w:r w:rsidR="00F72F2E">
        <w:rPr>
          <w:rFonts w:ascii="Times New Roman" w:eastAsia="Times New Roman" w:hAnsi="Times New Roman" w:cs="Times New Roman"/>
          <w:color w:val="000000"/>
          <w:sz w:val="20"/>
          <w:szCs w:val="20"/>
          <w:lang w:val="es-ES_tradnl"/>
        </w:rPr>
        <w:t>1</w:t>
      </w:r>
      <w:r w:rsidR="00EC63F8">
        <w:rPr>
          <w:rFonts w:ascii="Times New Roman" w:eastAsia="Times New Roman" w:hAnsi="Times New Roman" w:cs="Times New Roman"/>
          <w:color w:val="000000"/>
          <w:sz w:val="20"/>
          <w:szCs w:val="20"/>
          <w:lang w:val="es-ES_tradnl"/>
        </w:rPr>
        <w:t xml:space="preserve"> de </w:t>
      </w:r>
      <w:r w:rsidR="00F72F2E">
        <w:rPr>
          <w:rFonts w:ascii="Times New Roman" w:eastAsia="Times New Roman" w:hAnsi="Times New Roman" w:cs="Times New Roman"/>
          <w:color w:val="000000"/>
          <w:sz w:val="20"/>
          <w:szCs w:val="20"/>
          <w:lang w:val="es-ES_tradnl"/>
        </w:rPr>
        <w:t>dic</w:t>
      </w:r>
      <w:r w:rsidR="00EF6E81">
        <w:rPr>
          <w:rFonts w:ascii="Times New Roman" w:eastAsia="Times New Roman" w:hAnsi="Times New Roman" w:cs="Times New Roman"/>
          <w:color w:val="000000"/>
          <w:sz w:val="20"/>
          <w:szCs w:val="20"/>
          <w:lang w:val="es-ES_tradnl"/>
        </w:rPr>
        <w:t>iembre</w:t>
      </w:r>
      <w:r w:rsidR="0096670B">
        <w:rPr>
          <w:rFonts w:ascii="Times New Roman" w:eastAsia="Times New Roman" w:hAnsi="Times New Roman" w:cs="Times New Roman"/>
          <w:color w:val="000000"/>
          <w:sz w:val="20"/>
          <w:szCs w:val="20"/>
          <w:lang w:val="es-ES_tradnl"/>
        </w:rPr>
        <w:t xml:space="preserve"> de 2018 y 2017</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F72F2E">
        <w:rPr>
          <w:rFonts w:ascii="Times New Roman" w:eastAsia="Times New Roman" w:hAnsi="Times New Roman" w:cs="Times New Roman"/>
          <w:sz w:val="20"/>
          <w:szCs w:val="20"/>
          <w:lang w:val="es-ES_tradnl"/>
        </w:rPr>
        <w:t>e la LGCG y hasta el 31</w:t>
      </w:r>
      <w:r w:rsidR="003B7515">
        <w:rPr>
          <w:rFonts w:ascii="Times New Roman" w:eastAsia="Times New Roman" w:hAnsi="Times New Roman" w:cs="Times New Roman"/>
          <w:sz w:val="20"/>
          <w:szCs w:val="20"/>
          <w:lang w:val="es-ES_tradnl"/>
        </w:rPr>
        <w:t xml:space="preserve"> de </w:t>
      </w:r>
      <w:r w:rsidR="00F72F2E">
        <w:rPr>
          <w:rFonts w:ascii="Times New Roman" w:eastAsia="Times New Roman" w:hAnsi="Times New Roman" w:cs="Times New Roman"/>
          <w:sz w:val="20"/>
          <w:szCs w:val="20"/>
          <w:lang w:val="es-ES_tradnl"/>
        </w:rPr>
        <w:t>dic</w:t>
      </w:r>
      <w:r w:rsidR="00EF6E81">
        <w:rPr>
          <w:rFonts w:ascii="Times New Roman" w:eastAsia="Times New Roman" w:hAnsi="Times New Roman" w:cs="Times New Roman"/>
          <w:sz w:val="20"/>
          <w:szCs w:val="20"/>
          <w:lang w:val="es-ES_tradnl"/>
        </w:rPr>
        <w:t>iembre</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marco conceptual y los p</w:t>
      </w:r>
      <w:r w:rsidR="006428BF">
        <w:rPr>
          <w:rFonts w:ascii="Times New Roman" w:eastAsia="Times New Roman" w:hAnsi="Times New Roman" w:cs="Times New Roman"/>
          <w:bCs/>
          <w:iCs/>
          <w:sz w:val="20"/>
          <w:szCs w:val="20"/>
          <w:lang w:val="es-ES"/>
        </w:rPr>
        <w:t>ostulados básicos de contabilida</w:t>
      </w:r>
      <w:r w:rsidRPr="0013565A">
        <w:rPr>
          <w:rFonts w:ascii="Times New Roman" w:eastAsia="Times New Roman" w:hAnsi="Times New Roman" w:cs="Times New Roman"/>
          <w:bCs/>
          <w:iCs/>
          <w:sz w:val="20"/>
          <w:szCs w:val="20"/>
          <w:lang w:val="es-ES"/>
        </w:rPr>
        <w:t xml:space="preserve">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C76286" w:rsidRPr="00C76286" w:rsidRDefault="00C76286">
      <w:pPr>
        <w:rPr>
          <w:rFonts w:ascii="Times New Roman" w:hAnsi="Times New Roman" w:cs="Times New Roman"/>
          <w:sz w:val="20"/>
          <w:szCs w:val="20"/>
          <w:lang w:val="es-ES"/>
        </w:rPr>
      </w:pP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Pr="0013565A" w:rsidRDefault="00E34FF0"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Pr="00363F63"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t>La depreciación de los bienes muebles se calcula conforme al método de línea recta, como sigue:</w:t>
      </w: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CD1B85">
        <w:rPr>
          <w:rFonts w:ascii="Times New Roman" w:hAnsi="Times New Roman" w:cs="Times New Roman"/>
          <w:sz w:val="20"/>
          <w:szCs w:val="20"/>
          <w:lang w:val="es-ES_tradnl"/>
        </w:rPr>
        <w:object w:dxaOrig="8000" w:dyaOrig="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204.75pt" o:ole="">
            <v:imagedata r:id="rId9" o:title=""/>
          </v:shape>
          <o:OLEObject Type="Embed" ProgID="Excel.Sheet.12" ShapeID="_x0000_i1025" DrawAspect="Content" ObjectID="_1610451558" r:id="rId10"/>
        </w:object>
      </w:r>
      <w:r>
        <w:rPr>
          <w:rFonts w:ascii="Times New Roman" w:hAnsi="Times New Roman" w:cs="Times New Roman"/>
          <w:sz w:val="20"/>
          <w:szCs w:val="20"/>
          <w:lang w:val="es-ES_tradnl"/>
        </w:rPr>
        <w:t xml:space="preserve">                     </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lastRenderedPageBreak/>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Pr>
          <w:rFonts w:ascii="Times New Roman" w:eastAsia="Times New Roman" w:hAnsi="Times New Roman" w:cs="Times New Roman"/>
          <w:sz w:val="20"/>
          <w:szCs w:val="20"/>
          <w:lang w:val="es-ES_tradnl"/>
        </w:rPr>
        <w:t>2014. El 31 de diciembre de 2016</w:t>
      </w:r>
      <w:r w:rsidR="00F72F2E">
        <w:rPr>
          <w:rFonts w:ascii="Times New Roman" w:eastAsia="Times New Roman" w:hAnsi="Times New Roman" w:cs="Times New Roman"/>
          <w:sz w:val="20"/>
          <w:szCs w:val="20"/>
          <w:lang w:val="es-ES_tradnl"/>
        </w:rPr>
        <w:t>,</w:t>
      </w:r>
      <w:r w:rsidR="00E86E69">
        <w:rPr>
          <w:rFonts w:ascii="Times New Roman" w:eastAsia="Times New Roman" w:hAnsi="Times New Roman" w:cs="Times New Roman"/>
          <w:sz w:val="20"/>
          <w:szCs w:val="20"/>
          <w:lang w:val="es-ES_tradnl"/>
        </w:rPr>
        <w:t xml:space="preserve"> 2017</w:t>
      </w:r>
      <w:r w:rsidR="00F72F2E">
        <w:rPr>
          <w:rFonts w:ascii="Times New Roman" w:eastAsia="Times New Roman" w:hAnsi="Times New Roman" w:cs="Times New Roman"/>
          <w:sz w:val="20"/>
          <w:szCs w:val="20"/>
          <w:lang w:val="es-ES_tradnl"/>
        </w:rPr>
        <w:t xml:space="preserve"> y 2018</w:t>
      </w:r>
      <w:r w:rsidRPr="0013565A">
        <w:rPr>
          <w:rFonts w:ascii="Times New Roman" w:eastAsia="Times New Roman" w:hAnsi="Times New Roman" w:cs="Times New Roman"/>
          <w:sz w:val="20"/>
          <w:szCs w:val="20"/>
          <w:lang w:val="es-ES_tradnl"/>
        </w:rPr>
        <w:t>, el Gobierno del Estado de Chihuahua reconoció la depreciación a</w:t>
      </w:r>
      <w:r w:rsidR="00E86E69">
        <w:rPr>
          <w:rFonts w:ascii="Times New Roman" w:eastAsia="Times New Roman" w:hAnsi="Times New Roman" w:cs="Times New Roman"/>
          <w:sz w:val="20"/>
          <w:szCs w:val="20"/>
          <w:lang w:val="es-ES_tradnl"/>
        </w:rPr>
        <w:t>cumulada de los bienes muebles</w:t>
      </w:r>
      <w:r w:rsidRPr="00E86E69">
        <w:rPr>
          <w:rFonts w:ascii="Times New Roman" w:eastAsia="Times New Roman" w:hAnsi="Times New Roman" w:cs="Times New Roman"/>
          <w:sz w:val="20"/>
          <w:szCs w:val="20"/>
          <w:lang w:val="es-ES_tradnl"/>
        </w:rPr>
        <w:t>. 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w:t>
      </w: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 xml:space="preserve">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 xml:space="preserve">Se reconocen cuando se tiene una obligación presente como resultado de un evento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Diesel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 xml:space="preserve">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w:t>
      </w:r>
      <w:r w:rsidRPr="0013565A">
        <w:rPr>
          <w:rFonts w:ascii="Times New Roman" w:eastAsia="Times New Roman" w:hAnsi="Times New Roman" w:cs="Times New Roman"/>
          <w:sz w:val="20"/>
          <w:szCs w:val="20"/>
          <w:lang w:val="es-ES_tradnl"/>
        </w:rPr>
        <w:lastRenderedPageBreak/>
        <w:t>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Default="0071742B"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995" w:dyaOrig="7346">
          <v:shape id="_x0000_i1026" type="#_x0000_t75" style="width:499.5pt;height:367.5pt" o:ole="">
            <v:imagedata r:id="rId11" o:title=""/>
          </v:shape>
          <o:OLEObject Type="Embed" ProgID="Excel.Sheet.12" ShapeID="_x0000_i1026" DrawAspect="Content" ObjectID="_1610451559" r:id="rId12"/>
        </w:object>
      </w:r>
    </w:p>
    <w:p w:rsidR="00326C47" w:rsidRDefault="00326C47">
      <w:pPr>
        <w:rPr>
          <w:rFonts w:ascii="Times New Roman" w:hAnsi="Times New Roman" w:cs="Times New Roman"/>
          <w:sz w:val="20"/>
          <w:szCs w:val="20"/>
          <w:lang w:val="es-ES_tradnl"/>
        </w:rPr>
      </w:pPr>
    </w:p>
    <w:p w:rsidR="001B51E2" w:rsidRDefault="0071742B">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995" w:dyaOrig="11492">
          <v:shape id="_x0000_i1027" type="#_x0000_t75" style="width:499.5pt;height:574.5pt" o:ole="">
            <v:imagedata r:id="rId13" o:title=""/>
          </v:shape>
          <o:OLEObject Type="Embed" ProgID="Excel.Sheet.12" ShapeID="_x0000_i1027" DrawAspect="Content" ObjectID="_1610451560" r:id="rId14"/>
        </w:object>
      </w:r>
    </w:p>
    <w:p w:rsidR="003D4063" w:rsidRDefault="003D4063">
      <w:pPr>
        <w:rPr>
          <w:rFonts w:ascii="Times New Roman" w:hAnsi="Times New Roman" w:cs="Times New Roman"/>
          <w:sz w:val="20"/>
          <w:szCs w:val="20"/>
          <w:lang w:val="es-ES_tradnl"/>
        </w:rPr>
      </w:pPr>
    </w:p>
    <w:p w:rsidR="003D4063" w:rsidRDefault="003D4063">
      <w:pPr>
        <w:rPr>
          <w:rFonts w:ascii="Times New Roman" w:hAnsi="Times New Roman" w:cs="Times New Roman"/>
          <w:sz w:val="20"/>
          <w:szCs w:val="20"/>
          <w:lang w:val="es-ES_tradnl"/>
        </w:rPr>
      </w:pPr>
    </w:p>
    <w:p w:rsidR="004E3945" w:rsidRDefault="009C1A0D" w:rsidP="009F2327">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155" w:dyaOrig="6218">
          <v:shape id="_x0000_i1028" type="#_x0000_t75" style="width:507.75pt;height:311.25pt" o:ole="">
            <v:imagedata r:id="rId15" o:title=""/>
          </v:shape>
          <o:OLEObject Type="Embed" ProgID="Excel.Sheet.12" ShapeID="_x0000_i1028" DrawAspect="Content" ObjectID="_1610451561" r:id="rId16"/>
        </w:object>
      </w: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Pr="0013565A"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023AA4" w:rsidRPr="000441D2" w:rsidRDefault="009C1A0D" w:rsidP="000441D2">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995" w:dyaOrig="3589">
          <v:shape id="_x0000_i1029" type="#_x0000_t75" style="width:499.5pt;height:179.25pt" o:ole="">
            <v:imagedata r:id="rId17" o:title=""/>
          </v:shape>
          <o:OLEObject Type="Embed" ProgID="Excel.Sheet.12" ShapeID="_x0000_i1029" DrawAspect="Content" ObjectID="_1610451562" r:id="rId18"/>
        </w:object>
      </w:r>
    </w:p>
    <w:p w:rsidR="00FD52DE" w:rsidRDefault="00EF522B">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995" w:dyaOrig="13307">
          <v:shape id="_x0000_i1030" type="#_x0000_t75" style="width:499.5pt;height:665.25pt" o:ole="">
            <v:imagedata r:id="rId19" o:title=""/>
          </v:shape>
          <o:OLEObject Type="Embed" ProgID="Excel.Sheet.12" ShapeID="_x0000_i1030" DrawAspect="Content" ObjectID="_1610451563" r:id="rId20"/>
        </w:object>
      </w:r>
      <w:r>
        <w:rPr>
          <w:rFonts w:ascii="Times New Roman" w:hAnsi="Times New Roman" w:cs="Times New Roman"/>
          <w:sz w:val="20"/>
          <w:szCs w:val="20"/>
          <w:lang w:val="es-ES_tradnl"/>
        </w:rPr>
        <w:object w:dxaOrig="9995" w:dyaOrig="7978">
          <v:shape id="_x0000_i1031" type="#_x0000_t75" style="width:499.5pt;height:399pt" o:ole="">
            <v:imagedata r:id="rId21" o:title=""/>
          </v:shape>
          <o:OLEObject Type="Embed" ProgID="Excel.Sheet.12" ShapeID="_x0000_i1031" DrawAspect="Content" ObjectID="_1610451564" r:id="rId22"/>
        </w:object>
      </w: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t>Notas al Estado de Variación en la Hacienda Publica</w:t>
      </w:r>
    </w:p>
    <w:p w:rsidR="00DC0B39" w:rsidRDefault="00DC0B39">
      <w:pPr>
        <w:rPr>
          <w:rFonts w:ascii="Times New Roman" w:hAnsi="Times New Roman" w:cs="Times New Roman"/>
          <w:sz w:val="20"/>
          <w:szCs w:val="20"/>
          <w:lang w:val="es-ES_tradnl"/>
        </w:rPr>
      </w:pPr>
    </w:p>
    <w:p w:rsidR="00DC0B39" w:rsidRDefault="00EF522B">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155" w:dyaOrig="3563">
          <v:shape id="_x0000_i1032" type="#_x0000_t75" style="width:507.75pt;height:178.5pt" o:ole="">
            <v:imagedata r:id="rId23" o:title=""/>
          </v:shape>
          <o:OLEObject Type="Embed" ProgID="Excel.Sheet.12" ShapeID="_x0000_i1032" DrawAspect="Content" ObjectID="_1610451565" r:id="rId24"/>
        </w:object>
      </w:r>
    </w:p>
    <w:p w:rsidR="00B15C76" w:rsidRDefault="00B15C76">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lastRenderedPageBreak/>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2F56DF" w:rsidRPr="00A9114C" w:rsidRDefault="00EF522B"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995" w:dyaOrig="1777">
          <v:shape id="_x0000_i1033" type="#_x0000_t75" style="width:499.5pt;height:88.5pt" o:ole="">
            <v:imagedata r:id="rId25" o:title=""/>
          </v:shape>
          <o:OLEObject Type="Embed" ProgID="Excel.Sheet.12" ShapeID="_x0000_i1033" DrawAspect="Content" ObjectID="_1610451566" r:id="rId26"/>
        </w:object>
      </w:r>
      <w:r w:rsidR="002F56DF"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Rubros Extraordinarios.</w:t>
      </w:r>
      <w:r w:rsidR="00084305" w:rsidRPr="00084305">
        <w:rPr>
          <w:rFonts w:ascii="Times New Roman" w:hAnsi="Times New Roman" w:cs="Times New Roman"/>
          <w:sz w:val="20"/>
          <w:szCs w:val="20"/>
          <w:lang w:val="es-ES_tradnl"/>
        </w:rPr>
        <w:t xml:space="preserve"> </w:t>
      </w:r>
    </w:p>
    <w:p w:rsidR="00440773" w:rsidRDefault="009B09B1" w:rsidP="00D773AB">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995" w:dyaOrig="9942">
          <v:shape id="_x0000_i1034" type="#_x0000_t75" style="width:499.5pt;height:497.25pt" o:ole="">
            <v:imagedata r:id="rId27" o:title=""/>
          </v:shape>
          <o:OLEObject Type="Embed" ProgID="Excel.Sheet.12" ShapeID="_x0000_i1034" DrawAspect="Content" ObjectID="_1610451567" r:id="rId28"/>
        </w:object>
      </w:r>
    </w:p>
    <w:p w:rsidR="00273175" w:rsidRPr="00D773AB" w:rsidRDefault="00273175" w:rsidP="00D773AB">
      <w:pPr>
        <w:tabs>
          <w:tab w:val="left" w:pos="1473"/>
        </w:tabs>
        <w:rPr>
          <w:rFonts w:ascii="Times New Roman" w:hAnsi="Times New Roman" w:cs="Times New Roman"/>
          <w:b/>
          <w:sz w:val="20"/>
          <w:szCs w:val="20"/>
          <w:lang w:val="es-ES_tradnl"/>
        </w:rPr>
      </w:pPr>
      <w:r w:rsidRPr="00273175">
        <w:rPr>
          <w:rFonts w:ascii="Times New Roman" w:hAnsi="Times New Roman" w:cs="Times New Roman"/>
          <w:b/>
          <w:sz w:val="20"/>
          <w:szCs w:val="20"/>
          <w:lang w:val="es-ES_tradnl"/>
        </w:rPr>
        <w:lastRenderedPageBreak/>
        <w:t>Notas de Memoria (Cuentas de Orden)</w:t>
      </w:r>
    </w:p>
    <w:p w:rsidR="00C9205B" w:rsidRPr="00A06EF1" w:rsidRDefault="00980DF5" w:rsidP="00A06EF1">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0155" w:dyaOrig="5479">
          <v:shape id="_x0000_i1035" type="#_x0000_t75" style="width:507.75pt;height:273.75pt" o:ole="">
            <v:imagedata r:id="rId29" o:title=""/>
          </v:shape>
          <o:OLEObject Type="Embed" ProgID="Excel.Sheet.12" ShapeID="_x0000_i1035" DrawAspect="Content" ObjectID="_1610451568" r:id="rId30"/>
        </w:object>
      </w: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Savalza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168EE" w:rsidRDefault="009168EE" w:rsidP="002F56DF">
      <w:pPr>
        <w:spacing w:after="0" w:line="240" w:lineRule="exact"/>
        <w:rPr>
          <w:rFonts w:ascii="Times New Roman" w:eastAsia="Times New Roman" w:hAnsi="Times New Roman" w:cs="Times New Roman"/>
          <w:sz w:val="20"/>
          <w:lang w:val="es-ES_tradnl"/>
        </w:rPr>
      </w:pPr>
    </w:p>
    <w:p w:rsidR="009A116F" w:rsidRDefault="009A116F" w:rsidP="002F56DF">
      <w:pPr>
        <w:spacing w:after="0" w:line="240" w:lineRule="exact"/>
        <w:rPr>
          <w:rFonts w:ascii="Times New Roman" w:eastAsia="Times New Roman" w:hAnsi="Times New Roman" w:cs="Times New Roman"/>
          <w:sz w:val="20"/>
          <w:lang w:val="es-ES_tradnl"/>
        </w:rPr>
      </w:pPr>
    </w:p>
    <w:p w:rsidR="009A116F" w:rsidRPr="0013565A" w:rsidRDefault="009A116F"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lastRenderedPageBreak/>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9B09B1">
        <w:rPr>
          <w:rFonts w:ascii="Times New Roman" w:eastAsia="Times New Roman" w:hAnsi="Times New Roman" w:cs="Times New Roman"/>
          <w:sz w:val="20"/>
          <w:szCs w:val="20"/>
        </w:rPr>
        <w:t>31</w:t>
      </w:r>
      <w:r w:rsidR="00F0242C">
        <w:rPr>
          <w:rFonts w:ascii="Times New Roman" w:eastAsia="Times New Roman" w:hAnsi="Times New Roman" w:cs="Times New Roman"/>
          <w:sz w:val="20"/>
          <w:szCs w:val="20"/>
        </w:rPr>
        <w:t xml:space="preserve"> de </w:t>
      </w:r>
      <w:r w:rsidR="00407C4A">
        <w:rPr>
          <w:rFonts w:ascii="Times New Roman" w:eastAsia="Times New Roman" w:hAnsi="Times New Roman" w:cs="Times New Roman"/>
          <w:sz w:val="20"/>
          <w:szCs w:val="20"/>
        </w:rPr>
        <w:t>enero de 2019</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tbl>
      <w:tblPr>
        <w:tblW w:w="8436" w:type="dxa"/>
        <w:tblLayout w:type="fixed"/>
        <w:tblCellMar>
          <w:left w:w="70" w:type="dxa"/>
          <w:right w:w="70" w:type="dxa"/>
        </w:tblCellMar>
        <w:tblLook w:val="0000" w:firstRow="0" w:lastRow="0" w:firstColumn="0" w:lastColumn="0" w:noHBand="0" w:noVBand="0"/>
      </w:tblPr>
      <w:tblGrid>
        <w:gridCol w:w="823"/>
        <w:gridCol w:w="4024"/>
        <w:gridCol w:w="169"/>
        <w:gridCol w:w="3420"/>
      </w:tblGrid>
      <w:tr w:rsidR="002F56DF" w:rsidRPr="0013565A" w:rsidTr="00BC1F4A">
        <w:trPr>
          <w:cantSplit/>
          <w:trHeight w:val="1095"/>
        </w:trPr>
        <w:tc>
          <w:tcPr>
            <w:tcW w:w="823"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4024"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C.P.</w:t>
            </w:r>
            <w:r>
              <w:rPr>
                <w:rFonts w:ascii="Times New Roman" w:eastAsia="Times New Roman" w:hAnsi="Times New Roman" w:cs="Times New Roman"/>
                <w:sz w:val="20"/>
                <w:lang w:val="es-ES_tradnl"/>
              </w:rPr>
              <w:t xml:space="preserve"> Oscar Ruiz Suarez</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 xml:space="preserve">Director de Contabilidad Gubernamental </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c>
          <w:tcPr>
            <w:tcW w:w="169"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3420"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r>
    </w:tbl>
    <w:p w:rsidR="00A12B36" w:rsidRPr="002F56DF" w:rsidRDefault="00A12B36" w:rsidP="00363F63">
      <w:pPr>
        <w:tabs>
          <w:tab w:val="left" w:pos="1473"/>
        </w:tabs>
        <w:rPr>
          <w:rFonts w:ascii="Times New Roman" w:hAnsi="Times New Roman" w:cs="Times New Roman"/>
          <w:sz w:val="20"/>
          <w:szCs w:val="20"/>
        </w:rPr>
      </w:pPr>
    </w:p>
    <w:sectPr w:rsidR="00A12B36" w:rsidRPr="002F56DF" w:rsidSect="001C6B87">
      <w:footerReference w:type="default" r:id="rId3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9A" w:rsidRDefault="00CB469A" w:rsidP="00363F63">
      <w:pPr>
        <w:spacing w:after="0" w:line="240" w:lineRule="auto"/>
      </w:pPr>
      <w:r>
        <w:separator/>
      </w:r>
    </w:p>
  </w:endnote>
  <w:endnote w:type="continuationSeparator" w:id="0">
    <w:p w:rsidR="00CB469A" w:rsidRDefault="00CB469A"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3320D3" w:rsidRPr="003320D3">
          <w:rPr>
            <w:noProof/>
            <w:lang w:val="es-ES"/>
          </w:rPr>
          <w:t>2</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9A" w:rsidRDefault="00CB469A" w:rsidP="00363F63">
      <w:pPr>
        <w:spacing w:after="0" w:line="240" w:lineRule="auto"/>
      </w:pPr>
      <w:r>
        <w:separator/>
      </w:r>
    </w:p>
  </w:footnote>
  <w:footnote w:type="continuationSeparator" w:id="0">
    <w:p w:rsidR="00CB469A" w:rsidRDefault="00CB469A"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FBFEF814"/>
    <w:lvl w:ilvl="0" w:tplc="B19420A8">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AE12695E"/>
    <w:lvl w:ilvl="0" w:tplc="C862DAFE">
      <w:start w:val="1"/>
      <w:numFmt w:val="decimal"/>
      <w:lvlText w:val="%1."/>
      <w:lvlJc w:val="left"/>
      <w:pPr>
        <w:tabs>
          <w:tab w:val="num" w:pos="425"/>
        </w:tabs>
        <w:ind w:left="425" w:hanging="425"/>
      </w:pPr>
      <w:rPr>
        <w:rFonts w:ascii="Times New Roman Bold" w:hAnsi="Times New Roman Bold"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2762C"/>
    <w:rsid w:val="00036401"/>
    <w:rsid w:val="000441D2"/>
    <w:rsid w:val="0004568D"/>
    <w:rsid w:val="00054B54"/>
    <w:rsid w:val="00084305"/>
    <w:rsid w:val="00096B24"/>
    <w:rsid w:val="001158E9"/>
    <w:rsid w:val="001653AA"/>
    <w:rsid w:val="00173FA4"/>
    <w:rsid w:val="00185FED"/>
    <w:rsid w:val="001B51E2"/>
    <w:rsid w:val="001C6B87"/>
    <w:rsid w:val="001D0770"/>
    <w:rsid w:val="001D57C3"/>
    <w:rsid w:val="00207FE1"/>
    <w:rsid w:val="00216C7F"/>
    <w:rsid w:val="00254C0B"/>
    <w:rsid w:val="00267371"/>
    <w:rsid w:val="00273175"/>
    <w:rsid w:val="002F5506"/>
    <w:rsid w:val="002F56DF"/>
    <w:rsid w:val="003045A1"/>
    <w:rsid w:val="00326C47"/>
    <w:rsid w:val="003320D3"/>
    <w:rsid w:val="00335D4E"/>
    <w:rsid w:val="00363F63"/>
    <w:rsid w:val="00366AEC"/>
    <w:rsid w:val="00367AAC"/>
    <w:rsid w:val="00371F97"/>
    <w:rsid w:val="0039238E"/>
    <w:rsid w:val="003A1303"/>
    <w:rsid w:val="003B7515"/>
    <w:rsid w:val="003D4063"/>
    <w:rsid w:val="00402FBE"/>
    <w:rsid w:val="00407C4A"/>
    <w:rsid w:val="00440773"/>
    <w:rsid w:val="004A140B"/>
    <w:rsid w:val="004A174F"/>
    <w:rsid w:val="004B18C2"/>
    <w:rsid w:val="004E25E2"/>
    <w:rsid w:val="004E3945"/>
    <w:rsid w:val="00521546"/>
    <w:rsid w:val="00576B3E"/>
    <w:rsid w:val="0057747A"/>
    <w:rsid w:val="0059057C"/>
    <w:rsid w:val="005B6A8E"/>
    <w:rsid w:val="005F5E72"/>
    <w:rsid w:val="00612026"/>
    <w:rsid w:val="006237BF"/>
    <w:rsid w:val="006428BF"/>
    <w:rsid w:val="00693D88"/>
    <w:rsid w:val="006C3A50"/>
    <w:rsid w:val="006C6F57"/>
    <w:rsid w:val="006E1F04"/>
    <w:rsid w:val="006E1F72"/>
    <w:rsid w:val="006F447B"/>
    <w:rsid w:val="0071742B"/>
    <w:rsid w:val="007304C4"/>
    <w:rsid w:val="00731FC7"/>
    <w:rsid w:val="007E6A83"/>
    <w:rsid w:val="008006D0"/>
    <w:rsid w:val="00805D89"/>
    <w:rsid w:val="008A0799"/>
    <w:rsid w:val="009168EE"/>
    <w:rsid w:val="00920835"/>
    <w:rsid w:val="00926164"/>
    <w:rsid w:val="00942A49"/>
    <w:rsid w:val="0096670B"/>
    <w:rsid w:val="00980DF5"/>
    <w:rsid w:val="009901C0"/>
    <w:rsid w:val="009A116F"/>
    <w:rsid w:val="009B09B1"/>
    <w:rsid w:val="009C1A0D"/>
    <w:rsid w:val="009E3234"/>
    <w:rsid w:val="009E37FD"/>
    <w:rsid w:val="009E6180"/>
    <w:rsid w:val="009E6EF9"/>
    <w:rsid w:val="009F2327"/>
    <w:rsid w:val="00A04DA9"/>
    <w:rsid w:val="00A06EF1"/>
    <w:rsid w:val="00A12B36"/>
    <w:rsid w:val="00A47C3C"/>
    <w:rsid w:val="00A5637E"/>
    <w:rsid w:val="00A745C5"/>
    <w:rsid w:val="00A8651E"/>
    <w:rsid w:val="00A90452"/>
    <w:rsid w:val="00A9114C"/>
    <w:rsid w:val="00A957D6"/>
    <w:rsid w:val="00B01232"/>
    <w:rsid w:val="00B04ED2"/>
    <w:rsid w:val="00B15C76"/>
    <w:rsid w:val="00B26FC8"/>
    <w:rsid w:val="00B30BAE"/>
    <w:rsid w:val="00B3761D"/>
    <w:rsid w:val="00B50ED5"/>
    <w:rsid w:val="00B57E9A"/>
    <w:rsid w:val="00BC1F4A"/>
    <w:rsid w:val="00BC6D0B"/>
    <w:rsid w:val="00BD312D"/>
    <w:rsid w:val="00BD56D8"/>
    <w:rsid w:val="00C11188"/>
    <w:rsid w:val="00C119FC"/>
    <w:rsid w:val="00C34233"/>
    <w:rsid w:val="00C4245C"/>
    <w:rsid w:val="00C45A8C"/>
    <w:rsid w:val="00C6171D"/>
    <w:rsid w:val="00C76286"/>
    <w:rsid w:val="00C86865"/>
    <w:rsid w:val="00C9205B"/>
    <w:rsid w:val="00CB36BF"/>
    <w:rsid w:val="00CB469A"/>
    <w:rsid w:val="00CD1B85"/>
    <w:rsid w:val="00D2544A"/>
    <w:rsid w:val="00D773AB"/>
    <w:rsid w:val="00DA650D"/>
    <w:rsid w:val="00DB5DFB"/>
    <w:rsid w:val="00DC0B39"/>
    <w:rsid w:val="00E275BE"/>
    <w:rsid w:val="00E34FF0"/>
    <w:rsid w:val="00E526F3"/>
    <w:rsid w:val="00E813BB"/>
    <w:rsid w:val="00E86E69"/>
    <w:rsid w:val="00EA4E00"/>
    <w:rsid w:val="00EB6BC9"/>
    <w:rsid w:val="00EC23CD"/>
    <w:rsid w:val="00EC4E60"/>
    <w:rsid w:val="00EC63F8"/>
    <w:rsid w:val="00ED0C44"/>
    <w:rsid w:val="00ED79EE"/>
    <w:rsid w:val="00EE0BC5"/>
    <w:rsid w:val="00EF522B"/>
    <w:rsid w:val="00EF6E81"/>
    <w:rsid w:val="00F0242C"/>
    <w:rsid w:val="00F50FBE"/>
    <w:rsid w:val="00F72F2E"/>
    <w:rsid w:val="00FC6098"/>
    <w:rsid w:val="00FD52DE"/>
    <w:rsid w:val="00FD5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BA84-B10C-4AE6-BC39-C20B7286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2469</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2</cp:revision>
  <cp:lastPrinted>2019-01-31T17:22:00Z</cp:lastPrinted>
  <dcterms:created xsi:type="dcterms:W3CDTF">2019-01-31T21:53:00Z</dcterms:created>
  <dcterms:modified xsi:type="dcterms:W3CDTF">2019-01-31T21:53:00Z</dcterms:modified>
</cp:coreProperties>
</file>