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8" w:rsidRPr="00C11188" w:rsidRDefault="00C11188" w:rsidP="00C11188">
      <w:pPr>
        <w:spacing w:after="0" w:line="240" w:lineRule="exact"/>
        <w:outlineLvl w:val="0"/>
        <w:rPr>
          <w:rFonts w:ascii="Times New Roman" w:eastAsia="Times New Roman" w:hAnsi="Times New Roman" w:cs="Times New Roman"/>
          <w:sz w:val="28"/>
        </w:rPr>
      </w:pPr>
      <w:r w:rsidRPr="00C11188">
        <w:rPr>
          <w:rFonts w:ascii="Times New Roman" w:eastAsia="Times New Roman" w:hAnsi="Times New Roman" w:cs="Times New Roman"/>
          <w:b/>
          <w:sz w:val="28"/>
        </w:rPr>
        <w:t>Gobierno del Estado de Chihuahua</w:t>
      </w:r>
    </w:p>
    <w:p w:rsidR="00C11188" w:rsidRPr="00C11188" w:rsidRDefault="00C11188" w:rsidP="00C11188">
      <w:pPr>
        <w:spacing w:after="0" w:line="240" w:lineRule="auto"/>
        <w:outlineLvl w:val="0"/>
        <w:rPr>
          <w:rFonts w:ascii="Times New Roman" w:eastAsia="Times New Roman" w:hAnsi="Times New Roman" w:cs="Times New Roman"/>
          <w:b/>
          <w:bCs/>
          <w:sz w:val="40"/>
        </w:rPr>
      </w:pPr>
      <w:r w:rsidRPr="00C11188">
        <w:rPr>
          <w:rFonts w:ascii="Times New Roman" w:eastAsia="Times New Roman" w:hAnsi="Times New Roman" w:cs="Times New Roman"/>
          <w:b/>
          <w:bCs/>
          <w:sz w:val="40"/>
        </w:rPr>
        <w:t>Notas a los estados financieros</w:t>
      </w:r>
    </w:p>
    <w:p w:rsidR="00C11188" w:rsidRPr="00C11188" w:rsidRDefault="003045A1" w:rsidP="00C11188">
      <w:pPr>
        <w:spacing w:after="0" w:line="240" w:lineRule="auto"/>
        <w:rPr>
          <w:rFonts w:ascii="Times New Roman" w:eastAsia="Times New Roman" w:hAnsi="Times New Roman" w:cs="Times New Roman"/>
          <w:b/>
          <w:bCs/>
          <w:sz w:val="20"/>
          <w:lang w:val="es-ES_tradnl"/>
        </w:rPr>
      </w:pPr>
      <w:r>
        <w:rPr>
          <w:rFonts w:ascii="Times New Roman" w:eastAsia="Times New Roman" w:hAnsi="Times New Roman" w:cs="Times New Roman"/>
          <w:b/>
          <w:bCs/>
          <w:sz w:val="20"/>
          <w:lang w:val="es-ES_tradnl"/>
        </w:rPr>
        <w:t>Del 1 de enero al 3</w:t>
      </w:r>
      <w:r w:rsidR="008A0799">
        <w:rPr>
          <w:rFonts w:ascii="Times New Roman" w:eastAsia="Times New Roman" w:hAnsi="Times New Roman" w:cs="Times New Roman"/>
          <w:b/>
          <w:bCs/>
          <w:sz w:val="20"/>
          <w:lang w:val="es-ES_tradnl"/>
        </w:rPr>
        <w:t>1</w:t>
      </w:r>
      <w:r w:rsidR="00C11188" w:rsidRPr="00C11188">
        <w:rPr>
          <w:rFonts w:ascii="Times New Roman" w:eastAsia="Times New Roman" w:hAnsi="Times New Roman" w:cs="Times New Roman"/>
          <w:b/>
          <w:bCs/>
          <w:sz w:val="20"/>
          <w:lang w:val="es-ES_tradnl"/>
        </w:rPr>
        <w:t xml:space="preserve"> de</w:t>
      </w:r>
      <w:r w:rsidR="00EC63F8">
        <w:rPr>
          <w:rFonts w:ascii="Times New Roman" w:eastAsia="Times New Roman" w:hAnsi="Times New Roman" w:cs="Times New Roman"/>
          <w:b/>
          <w:bCs/>
          <w:sz w:val="20"/>
          <w:lang w:val="es-ES_tradnl"/>
        </w:rPr>
        <w:t xml:space="preserve"> </w:t>
      </w:r>
      <w:r>
        <w:rPr>
          <w:rFonts w:ascii="Times New Roman" w:eastAsia="Times New Roman" w:hAnsi="Times New Roman" w:cs="Times New Roman"/>
          <w:b/>
          <w:bCs/>
          <w:sz w:val="20"/>
          <w:lang w:val="es-ES_tradnl"/>
        </w:rPr>
        <w:t>dic</w:t>
      </w:r>
      <w:r w:rsidR="00EC63F8">
        <w:rPr>
          <w:rFonts w:ascii="Times New Roman" w:eastAsia="Times New Roman" w:hAnsi="Times New Roman" w:cs="Times New Roman"/>
          <w:b/>
          <w:bCs/>
          <w:sz w:val="20"/>
          <w:lang w:val="es-ES_tradnl"/>
        </w:rPr>
        <w:t xml:space="preserve">iembre </w:t>
      </w:r>
      <w:r w:rsidR="0096670B">
        <w:rPr>
          <w:rFonts w:ascii="Times New Roman" w:eastAsia="Times New Roman" w:hAnsi="Times New Roman" w:cs="Times New Roman"/>
          <w:b/>
          <w:bCs/>
          <w:sz w:val="20"/>
          <w:lang w:val="es-ES_tradnl"/>
        </w:rPr>
        <w:t xml:space="preserve"> de 2018 y 2017</w:t>
      </w:r>
    </w:p>
    <w:p w:rsidR="00C11188" w:rsidRPr="00C11188" w:rsidRDefault="00C11188" w:rsidP="00C11188">
      <w:pPr>
        <w:spacing w:after="0" w:line="240" w:lineRule="auto"/>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bCs/>
          <w:sz w:val="20"/>
          <w:lang w:val="es-ES_tradnl"/>
        </w:rPr>
        <w:t>(En miles de pesos)</w:t>
      </w:r>
    </w:p>
    <w:p w:rsidR="00C11188" w:rsidRPr="00C11188" w:rsidRDefault="00C11188" w:rsidP="00C11188">
      <w:pPr>
        <w:spacing w:after="0" w:line="240" w:lineRule="auto"/>
        <w:ind w:firstLine="720"/>
        <w:rPr>
          <w:rFonts w:ascii="Times New Roman" w:eastAsia="Times New Roman" w:hAnsi="Times New Roman" w:cs="Times New Roman"/>
          <w:b/>
          <w:bCs/>
          <w:sz w:val="20"/>
        </w:rPr>
      </w:pPr>
    </w:p>
    <w:p w:rsidR="00C11188" w:rsidRPr="00C34233" w:rsidRDefault="00C34233" w:rsidP="00C11188">
      <w:pPr>
        <w:spacing w:after="0" w:line="240" w:lineRule="auto"/>
        <w:ind w:left="360" w:hanging="360"/>
        <w:rPr>
          <w:rFonts w:ascii="Times New Roman" w:eastAsia="Times New Roman" w:hAnsi="Times New Roman" w:cs="Times New Roman"/>
          <w:b/>
          <w:sz w:val="20"/>
          <w:lang w:val="es-ES_tradnl"/>
        </w:rPr>
      </w:pPr>
      <w:r w:rsidRPr="00C34233">
        <w:rPr>
          <w:rFonts w:ascii="Times New Roman" w:eastAsia="Times New Roman" w:hAnsi="Times New Roman" w:cs="Times New Roman"/>
          <w:b/>
          <w:sz w:val="20"/>
          <w:lang w:val="es-ES_tradnl"/>
        </w:rPr>
        <w:t>Notas de Gestión</w:t>
      </w:r>
      <w:r w:rsidR="009E6EF9">
        <w:rPr>
          <w:rFonts w:ascii="Times New Roman" w:eastAsia="Times New Roman" w:hAnsi="Times New Roman" w:cs="Times New Roman"/>
          <w:b/>
          <w:sz w:val="20"/>
          <w:lang w:val="es-ES_tradnl"/>
        </w:rPr>
        <w:t xml:space="preserve"> A</w:t>
      </w:r>
      <w:r w:rsidRPr="00C34233">
        <w:rPr>
          <w:rFonts w:ascii="Times New Roman" w:eastAsia="Times New Roman" w:hAnsi="Times New Roman" w:cs="Times New Roman"/>
          <w:b/>
          <w:sz w:val="20"/>
          <w:lang w:val="es-ES_tradnl"/>
        </w:rPr>
        <w:t>dministrativa</w:t>
      </w:r>
    </w:p>
    <w:p w:rsidR="00C11188" w:rsidRPr="00C11188" w:rsidRDefault="00C11188" w:rsidP="00C11188">
      <w:pPr>
        <w:numPr>
          <w:ilvl w:val="0"/>
          <w:numId w:val="1"/>
        </w:numPr>
        <w:spacing w:after="0" w:line="240" w:lineRule="exact"/>
        <w:ind w:left="567" w:right="567" w:hanging="567"/>
        <w:rPr>
          <w:rFonts w:ascii="Times New Roman" w:eastAsia="Times New Roman" w:hAnsi="Times New Roman" w:cs="Times New Roman"/>
          <w:b/>
          <w:sz w:val="20"/>
          <w:szCs w:val="20"/>
        </w:rPr>
      </w:pPr>
      <w:r w:rsidRPr="00C11188">
        <w:rPr>
          <w:rFonts w:ascii="Times New Roman" w:eastAsia="Times New Roman" w:hAnsi="Times New Roman" w:cs="Times New Roman"/>
          <w:b/>
          <w:sz w:val="20"/>
          <w:szCs w:val="20"/>
        </w:rPr>
        <w:t>Entorno legal y administración de las finanzas públicas</w:t>
      </w:r>
    </w:p>
    <w:p w:rsidR="00C11188" w:rsidRPr="00C11188" w:rsidRDefault="00C11188" w:rsidP="00C11188">
      <w:pPr>
        <w:spacing w:after="0" w:line="240" w:lineRule="exact"/>
        <w:ind w:left="425"/>
        <w:rPr>
          <w:rFonts w:ascii="Times New Roman" w:eastAsia="Times New Roman" w:hAnsi="Times New Roman" w:cs="Times New Roman"/>
          <w:sz w:val="20"/>
          <w:szCs w:val="20"/>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ab/>
        <w:t xml:space="preserve">Entorno legal – </w:t>
      </w:r>
      <w:r w:rsidRPr="00C11188">
        <w:rPr>
          <w:rFonts w:ascii="Times New Roman" w:eastAsia="Times New Roman" w:hAnsi="Times New Roman" w:cs="Times New Roman"/>
          <w:bCs/>
          <w:sz w:val="20"/>
          <w:szCs w:val="20"/>
          <w:lang w:val="es-ES_tradnl"/>
        </w:rPr>
        <w:t xml:space="preserve">De conformidad con lo dispuesto por la Constitución Política de los Estados Unidos Mexicanos en su Artículo 40, el pueblo mexicano se constituye en una República representativa, democrática, compuesta de estados libres y soberanos en lo relativo a su régimen interior, pero unidos en una Federación.  La organización, estructura y funciones del Poder Ejecutivo del Gobierno del Estado de Chihuahua (“Poder Ejecutivo”) están reguladas por: la Constitución Política de los Estados Unidos Mexicanos,  la Constitución Política del Estado de Chihuahua, la Ley Orgánica del Poder Ejecutivo del Estado, </w:t>
      </w:r>
      <w:r w:rsidRPr="00C11188">
        <w:rPr>
          <w:rFonts w:ascii="Times New Roman" w:eastAsia="Times New Roman" w:hAnsi="Times New Roman" w:cs="Times New Roman"/>
          <w:sz w:val="20"/>
          <w:szCs w:val="20"/>
          <w:lang w:val="es-ES_tradnl"/>
        </w:rPr>
        <w:t>Ley de Planeación para el Estado de Chihuahua,</w:t>
      </w:r>
      <w:r w:rsidRPr="00C11188">
        <w:rPr>
          <w:rFonts w:ascii="Times New Roman" w:eastAsia="Times New Roman" w:hAnsi="Times New Roman" w:cs="Times New Roman"/>
          <w:bCs/>
          <w:sz w:val="20"/>
          <w:szCs w:val="20"/>
          <w:lang w:val="es-ES_tradnl"/>
        </w:rPr>
        <w:t xml:space="preserve"> el Plan Estatal de Desarrollo por el periodo 2017 – 2021, los reglamentos de las Secretarías y Coordinaciones, reglamentos y decretos específicos de la administración centralizada y paraestatal,  y que tiene por objeto principal promover la justicia social de la ciudadanía y el Gobierno.</w:t>
      </w: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bCs/>
          <w:sz w:val="20"/>
          <w:szCs w:val="20"/>
        </w:rPr>
      </w:pPr>
      <w:r w:rsidRPr="00C11188">
        <w:rPr>
          <w:rFonts w:ascii="Times New Roman" w:eastAsia="Times New Roman" w:hAnsi="Times New Roman" w:cs="Times New Roman"/>
          <w:sz w:val="20"/>
          <w:szCs w:val="20"/>
          <w:lang w:val="es-ES_tradnl"/>
        </w:rPr>
        <w:tab/>
        <w:t xml:space="preserve">Para el desarrollo de sus funciones del ejercicio presupuestal del 1 de </w:t>
      </w:r>
      <w:r w:rsidR="0096670B">
        <w:rPr>
          <w:rFonts w:ascii="Times New Roman" w:eastAsia="Times New Roman" w:hAnsi="Times New Roman" w:cs="Times New Roman"/>
          <w:sz w:val="20"/>
          <w:szCs w:val="20"/>
          <w:lang w:val="es-ES_tradnl"/>
        </w:rPr>
        <w:t>enero al 31 de diciembre de 2018</w:t>
      </w:r>
      <w:r w:rsidRPr="00C11188">
        <w:rPr>
          <w:rFonts w:ascii="Times New Roman" w:eastAsia="Times New Roman" w:hAnsi="Times New Roman" w:cs="Times New Roman"/>
          <w:sz w:val="20"/>
          <w:szCs w:val="20"/>
          <w:lang w:val="es-ES_tradnl"/>
        </w:rPr>
        <w:t>, el Gobierno del Estado de Chihuahua (el “Gobierno del Estado”) obtuvo los recursos económicos previstos en las Leyes de Ingresos y el Presupuesto de Egresos del Estado de Chi</w:t>
      </w:r>
      <w:r w:rsidR="0096670B">
        <w:rPr>
          <w:rFonts w:ascii="Times New Roman" w:eastAsia="Times New Roman" w:hAnsi="Times New Roman" w:cs="Times New Roman"/>
          <w:sz w:val="20"/>
          <w:szCs w:val="20"/>
          <w:lang w:val="es-ES_tradnl"/>
        </w:rPr>
        <w:t>huahua para el ejercicio de 2018</w:t>
      </w:r>
      <w:r w:rsidRPr="00C11188">
        <w:rPr>
          <w:rFonts w:ascii="Times New Roman" w:eastAsia="Times New Roman" w:hAnsi="Times New Roman" w:cs="Times New Roman"/>
          <w:sz w:val="20"/>
          <w:szCs w:val="20"/>
          <w:lang w:val="es-ES_tradnl"/>
        </w:rPr>
        <w:t xml:space="preserve">, aprobados mediante Decreto número </w:t>
      </w:r>
      <w:r w:rsidR="00DC0B39" w:rsidRPr="00DC0B39">
        <w:rPr>
          <w:rFonts w:ascii="Times New Roman" w:hAnsi="Times New Roman" w:cs="Times New Roman"/>
          <w:sz w:val="20"/>
          <w:szCs w:val="20"/>
        </w:rPr>
        <w:t>LXV/APLIE/0666/2017</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rPr>
        <w:t xml:space="preserve"> y</w:t>
      </w:r>
      <w:r w:rsidRPr="00DC0B39">
        <w:rPr>
          <w:rFonts w:ascii="Times New Roman" w:eastAsia="Times New Roman" w:hAnsi="Times New Roman" w:cs="Times New Roman"/>
          <w:sz w:val="20"/>
          <w:szCs w:val="20"/>
          <w:lang w:val="es-ES_tradnl"/>
        </w:rPr>
        <w:t xml:space="preserve"> </w:t>
      </w:r>
      <w:r w:rsidR="00DC0B39" w:rsidRPr="00DC0B39">
        <w:rPr>
          <w:rFonts w:ascii="Times New Roman" w:hAnsi="Times New Roman" w:cs="Times New Roman"/>
          <w:sz w:val="20"/>
          <w:szCs w:val="20"/>
        </w:rPr>
        <w:t>LXV/APPEE/0667/2017</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lang w:val="es-ES_tradnl"/>
        </w:rPr>
        <w:t>,  respectivamente, por la LXV Legislatura</w:t>
      </w:r>
      <w:r w:rsidRPr="00C11188">
        <w:rPr>
          <w:rFonts w:ascii="Times New Roman" w:eastAsia="Times New Roman" w:hAnsi="Times New Roman" w:cs="Times New Roman"/>
          <w:sz w:val="20"/>
          <w:szCs w:val="20"/>
          <w:lang w:val="es-ES_tradnl"/>
        </w:rPr>
        <w:t xml:space="preserve"> del Estado Libre y Soberano de Chihuahua.</w:t>
      </w:r>
    </w:p>
    <w:p w:rsidR="00C11188" w:rsidRPr="00C11188" w:rsidRDefault="00C11188"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C11188" w:rsidRPr="00C11188" w:rsidRDefault="00C11188" w:rsidP="00C11188">
      <w:pPr>
        <w:numPr>
          <w:ilvl w:val="0"/>
          <w:numId w:val="1"/>
        </w:numPr>
        <w:spacing w:after="0" w:line="240" w:lineRule="exact"/>
        <w:ind w:left="567" w:hanging="567"/>
        <w:jc w:val="both"/>
        <w:rPr>
          <w:rFonts w:ascii="Times New Roman" w:eastAsia="Times New Roman" w:hAnsi="Times New Roman" w:cs="Times New Roman"/>
          <w:b/>
          <w:sz w:val="20"/>
          <w:szCs w:val="20"/>
          <w:lang w:val="es-ES_tradnl"/>
        </w:rPr>
      </w:pPr>
      <w:r w:rsidRPr="00C11188">
        <w:rPr>
          <w:rFonts w:ascii="Times New Roman" w:eastAsia="Times New Roman" w:hAnsi="Times New Roman" w:cs="Times New Roman"/>
          <w:b/>
          <w:sz w:val="20"/>
          <w:szCs w:val="20"/>
          <w:lang w:val="es-ES_tradnl"/>
        </w:rPr>
        <w:t>Bases de presentación</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color w:val="1F497D"/>
          <w:sz w:val="20"/>
          <w:szCs w:val="20"/>
          <w:lang w:val="es-ES_tradnl"/>
        </w:rPr>
      </w:pPr>
    </w:p>
    <w:p w:rsidR="00C11188" w:rsidRPr="00C11188" w:rsidRDefault="00C11188" w:rsidP="00C11188">
      <w:pPr>
        <w:spacing w:after="0" w:line="240" w:lineRule="auto"/>
        <w:ind w:left="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lang w:val="es-ES_tradnl"/>
        </w:rPr>
        <w:t xml:space="preserve">Entidad Jurídica – El 24 de septiembre de 2014 el Consejo Nacional de Armonización Contable (“CONAC”) emitió las Normas en materia de consolidación de la información financiera que son obligatorias para los entes públicos. Los estados financieros adjuntos han sido preparados para cumplir con las disposiciones legales que requieren la presentación de la Cuenta Pública del Poder Ejecutivo del Estado de Chihuahua. La Secretaría de Hacienda del Gobierno del Estado de Chihuahua presenta por separado los estados financieros consolidados para dar cumplimiento a las Normas en materia de consolidación de Estados Financieros emitidas por el Consejo Nacional de Armonización </w:t>
      </w:r>
      <w:r w:rsidR="003045A1">
        <w:rPr>
          <w:rFonts w:ascii="Times New Roman" w:eastAsia="Times New Roman" w:hAnsi="Times New Roman" w:cs="Times New Roman"/>
          <w:sz w:val="20"/>
          <w:szCs w:val="20"/>
          <w:lang w:val="es-ES_tradnl"/>
        </w:rPr>
        <w:t>Contable vigentes al 31</w:t>
      </w:r>
      <w:r w:rsidR="00EC63F8">
        <w:rPr>
          <w:rFonts w:ascii="Times New Roman" w:eastAsia="Times New Roman" w:hAnsi="Times New Roman" w:cs="Times New Roman"/>
          <w:sz w:val="20"/>
          <w:szCs w:val="20"/>
          <w:lang w:val="es-ES_tradnl"/>
        </w:rPr>
        <w:t xml:space="preserve"> de </w:t>
      </w:r>
      <w:r w:rsidR="003045A1">
        <w:rPr>
          <w:rFonts w:ascii="Times New Roman" w:eastAsia="Times New Roman" w:hAnsi="Times New Roman" w:cs="Times New Roman"/>
          <w:sz w:val="20"/>
          <w:szCs w:val="20"/>
          <w:lang w:val="es-ES_tradnl"/>
        </w:rPr>
        <w:t>dic</w:t>
      </w:r>
      <w:r w:rsidR="00EC63F8">
        <w:rPr>
          <w:rFonts w:ascii="Times New Roman" w:eastAsia="Times New Roman" w:hAnsi="Times New Roman" w:cs="Times New Roman"/>
          <w:sz w:val="20"/>
          <w:szCs w:val="20"/>
          <w:lang w:val="es-ES_tradnl"/>
        </w:rPr>
        <w:t>iembre</w:t>
      </w:r>
      <w:r w:rsidR="0096670B">
        <w:rPr>
          <w:rFonts w:ascii="Times New Roman" w:eastAsia="Times New Roman" w:hAnsi="Times New Roman" w:cs="Times New Roman"/>
          <w:sz w:val="20"/>
          <w:szCs w:val="20"/>
          <w:lang w:val="es-ES_tradnl"/>
        </w:rPr>
        <w:t xml:space="preserve"> de 2018</w:t>
      </w:r>
      <w:r w:rsidRPr="00C11188">
        <w:rPr>
          <w:rFonts w:ascii="Times New Roman" w:eastAsia="Times New Roman" w:hAnsi="Times New Roman" w:cs="Times New Roman"/>
          <w:sz w:val="20"/>
          <w:szCs w:val="20"/>
          <w:lang w:val="es-ES_tradnl"/>
        </w:rPr>
        <w:t>.</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rPr>
      </w:pP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color w:val="000000"/>
          <w:sz w:val="20"/>
          <w:szCs w:val="20"/>
          <w:lang w:val="es-ES_tradnl"/>
        </w:rPr>
        <w:t>Unidad monetaria de los estados financieros</w:t>
      </w:r>
      <w:r w:rsidRPr="00C11188">
        <w:rPr>
          <w:rFonts w:ascii="Times New Roman" w:eastAsia="Times New Roman" w:hAnsi="Times New Roman" w:cs="Times New Roman"/>
          <w:b/>
          <w:color w:val="000000"/>
          <w:sz w:val="20"/>
          <w:szCs w:val="20"/>
          <w:lang w:val="es-ES_tradnl"/>
        </w:rPr>
        <w:t xml:space="preserve"> - </w:t>
      </w:r>
      <w:r w:rsidRPr="00C11188">
        <w:rPr>
          <w:rFonts w:ascii="Times New Roman" w:eastAsia="Times New Roman" w:hAnsi="Times New Roman" w:cs="Times New Roman"/>
          <w:color w:val="000000"/>
          <w:sz w:val="20"/>
          <w:szCs w:val="20"/>
          <w:lang w:val="es-ES_tradnl"/>
        </w:rPr>
        <w:t>Los estados fi</w:t>
      </w:r>
      <w:r w:rsidR="003045A1">
        <w:rPr>
          <w:rFonts w:ascii="Times New Roman" w:eastAsia="Times New Roman" w:hAnsi="Times New Roman" w:cs="Times New Roman"/>
          <w:color w:val="000000"/>
          <w:sz w:val="20"/>
          <w:szCs w:val="20"/>
          <w:lang w:val="es-ES_tradnl"/>
        </w:rPr>
        <w:t>nancieros y notas al 31</w:t>
      </w:r>
      <w:r w:rsidR="00EC63F8">
        <w:rPr>
          <w:rFonts w:ascii="Times New Roman" w:eastAsia="Times New Roman" w:hAnsi="Times New Roman" w:cs="Times New Roman"/>
          <w:color w:val="000000"/>
          <w:sz w:val="20"/>
          <w:szCs w:val="20"/>
          <w:lang w:val="es-ES_tradnl"/>
        </w:rPr>
        <w:t xml:space="preserve"> de </w:t>
      </w:r>
      <w:r w:rsidR="003045A1">
        <w:rPr>
          <w:rFonts w:ascii="Times New Roman" w:eastAsia="Times New Roman" w:hAnsi="Times New Roman" w:cs="Times New Roman"/>
          <w:color w:val="000000"/>
          <w:sz w:val="20"/>
          <w:szCs w:val="20"/>
          <w:lang w:val="es-ES_tradnl"/>
        </w:rPr>
        <w:t>dic</w:t>
      </w:r>
      <w:r w:rsidR="00EC63F8">
        <w:rPr>
          <w:rFonts w:ascii="Times New Roman" w:eastAsia="Times New Roman" w:hAnsi="Times New Roman" w:cs="Times New Roman"/>
          <w:color w:val="000000"/>
          <w:sz w:val="20"/>
          <w:szCs w:val="20"/>
          <w:lang w:val="es-ES_tradnl"/>
        </w:rPr>
        <w:t>iembre</w:t>
      </w:r>
      <w:r w:rsidR="0096670B">
        <w:rPr>
          <w:rFonts w:ascii="Times New Roman" w:eastAsia="Times New Roman" w:hAnsi="Times New Roman" w:cs="Times New Roman"/>
          <w:color w:val="000000"/>
          <w:sz w:val="20"/>
          <w:szCs w:val="20"/>
          <w:lang w:val="es-ES_tradnl"/>
        </w:rPr>
        <w:t xml:space="preserve"> de 2018 y 2017</w:t>
      </w:r>
      <w:r w:rsidRPr="00C11188">
        <w:rPr>
          <w:rFonts w:ascii="Times New Roman" w:eastAsia="Times New Roman" w:hAnsi="Times New Roman" w:cs="Times New Roman"/>
          <w:color w:val="000000"/>
          <w:sz w:val="20"/>
          <w:szCs w:val="20"/>
          <w:lang w:val="es-ES_tradnl"/>
        </w:rPr>
        <w:t xml:space="preserve"> y por los años que terminaron  en esas fechas incluyen saldos y transacciones en pesos de diferente poder adquisitivo.</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numPr>
          <w:ilvl w:val="1"/>
          <w:numId w:val="2"/>
        </w:numPr>
        <w:tabs>
          <w:tab w:val="left" w:pos="1134"/>
        </w:tabs>
        <w:spacing w:after="0" w:line="240" w:lineRule="auto"/>
        <w:ind w:left="1134" w:hanging="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sz w:val="20"/>
          <w:szCs w:val="20"/>
        </w:rPr>
        <w:t>Armonización contable gubernamental –</w:t>
      </w:r>
      <w:r w:rsidRPr="00C11188">
        <w:rPr>
          <w:rFonts w:ascii="Times New Roman" w:eastAsia="Times New Roman" w:hAnsi="Times New Roman" w:cs="Times New Roman"/>
          <w:sz w:val="20"/>
          <w:szCs w:val="20"/>
        </w:rPr>
        <w:t xml:space="preserve"> </w:t>
      </w:r>
      <w:r w:rsidRPr="00C11188">
        <w:rPr>
          <w:rFonts w:ascii="Times New Roman" w:eastAsia="Times New Roman" w:hAnsi="Times New Roman" w:cs="Times New Roman"/>
          <w:sz w:val="20"/>
          <w:szCs w:val="20"/>
          <w:lang w:val="es-ES_tradnl"/>
        </w:rPr>
        <w:t>A partir del 1 de enero de 2009 entró en vigor la Ley General de Contabilidad Gubernamental (“LGCG”), la cual establece las bases de registro contable y presupuestal así como, de informes que deberá de integrar la cuenta pública que presenten las entidades que administren recursos públicos. Desde la publicación d</w:t>
      </w:r>
      <w:r w:rsidR="003045A1">
        <w:rPr>
          <w:rFonts w:ascii="Times New Roman" w:eastAsia="Times New Roman" w:hAnsi="Times New Roman" w:cs="Times New Roman"/>
          <w:sz w:val="20"/>
          <w:szCs w:val="20"/>
          <w:lang w:val="es-ES_tradnl"/>
        </w:rPr>
        <w:t>e la LGCG y hasta el 31</w:t>
      </w:r>
      <w:r w:rsidR="003B7515">
        <w:rPr>
          <w:rFonts w:ascii="Times New Roman" w:eastAsia="Times New Roman" w:hAnsi="Times New Roman" w:cs="Times New Roman"/>
          <w:sz w:val="20"/>
          <w:szCs w:val="20"/>
          <w:lang w:val="es-ES_tradnl"/>
        </w:rPr>
        <w:t xml:space="preserve"> de </w:t>
      </w:r>
      <w:r w:rsidR="003045A1">
        <w:rPr>
          <w:rFonts w:ascii="Times New Roman" w:eastAsia="Times New Roman" w:hAnsi="Times New Roman" w:cs="Times New Roman"/>
          <w:sz w:val="20"/>
          <w:szCs w:val="20"/>
          <w:lang w:val="es-ES_tradnl"/>
        </w:rPr>
        <w:t>dic</w:t>
      </w:r>
      <w:r w:rsidR="003B7515">
        <w:rPr>
          <w:rFonts w:ascii="Times New Roman" w:eastAsia="Times New Roman" w:hAnsi="Times New Roman" w:cs="Times New Roman"/>
          <w:sz w:val="20"/>
          <w:szCs w:val="20"/>
          <w:lang w:val="es-ES_tradnl"/>
        </w:rPr>
        <w:t>iembre</w:t>
      </w:r>
      <w:r w:rsidR="0096670B">
        <w:rPr>
          <w:rFonts w:ascii="Times New Roman" w:eastAsia="Times New Roman" w:hAnsi="Times New Roman" w:cs="Times New Roman"/>
          <w:sz w:val="20"/>
          <w:szCs w:val="20"/>
          <w:lang w:val="es-ES_tradnl"/>
        </w:rPr>
        <w:t xml:space="preserve"> de 2018</w:t>
      </w:r>
      <w:r w:rsidRPr="00C11188">
        <w:rPr>
          <w:rFonts w:ascii="Times New Roman" w:eastAsia="Times New Roman" w:hAnsi="Times New Roman" w:cs="Times New Roman"/>
          <w:sz w:val="20"/>
          <w:szCs w:val="20"/>
          <w:lang w:val="es-ES_tradnl"/>
        </w:rPr>
        <w:t xml:space="preserve">, se han emitido diversos documentos de aplicación de la contabilidad gubernamental los cuales complementan las disposiciones contenidas en dicha Ley.  De acuerdo con lo previsto en el artículo 79 fracción primera, tercer párrafo de la Constitución Política de los Estados Unidos Mexicanos, es obligación del Gobierno del Estado llevar el control y registro contable, patrimonial y presupuestario de los recursos públicos que le son transferidos y asignados, de acuerdo con los criterios que establezca la Ley. </w:t>
      </w: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El Gobierno del Estado de Chihuahua ha adoptado los lineamientos que se derivan de la LGCG, de conformidad con lo establecido en el Acuerdo de Interpretación sobre las Obligaciones Establecidas en los Artículos Transitorios de la LGCG para la emisión de los estados financieros.</w:t>
      </w:r>
    </w:p>
    <w:p w:rsidR="00E34FF0" w:rsidRDefault="00E34FF0">
      <w:pPr>
        <w:rPr>
          <w:rFonts w:ascii="Times New Roman" w:hAnsi="Times New Roman" w:cs="Times New Roman"/>
          <w:sz w:val="20"/>
          <w:szCs w:val="20"/>
          <w:lang w:val="es-ES_tradnl"/>
        </w:rPr>
      </w:pPr>
    </w:p>
    <w:p w:rsidR="00C76286" w:rsidRPr="0013565A" w:rsidRDefault="00C76286" w:rsidP="00C76286">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 xml:space="preserve">El marco conceptual y los postulados básicos de contabilidad gubernamental aprobados durante 2009 entraron en vigor el 30 de abril de 2010, con la finalidad de que los entes públicos establezcan un proceso ordenado de adecuación en su organización interna, así como de capacitación sobre las características del sistema de contabilidad que les permita cumplir con el sistema de contabilidad establecido en la LGCG. </w:t>
      </w:r>
    </w:p>
    <w:p w:rsidR="00C76286" w:rsidRPr="00C76286" w:rsidRDefault="00C76286">
      <w:pPr>
        <w:rPr>
          <w:rFonts w:ascii="Times New Roman" w:hAnsi="Times New Roman" w:cs="Times New Roman"/>
          <w:sz w:val="20"/>
          <w:szCs w:val="20"/>
          <w:lang w:val="es-ES"/>
        </w:rPr>
      </w:pPr>
    </w:p>
    <w:p w:rsidR="005F5E72" w:rsidRDefault="005F5E72">
      <w:pPr>
        <w:rPr>
          <w:rFonts w:ascii="Times New Roman" w:hAnsi="Times New Roman" w:cs="Times New Roman"/>
          <w:sz w:val="20"/>
          <w:szCs w:val="20"/>
          <w:lang w:val="es-ES_tradnl"/>
        </w:rPr>
      </w:pPr>
    </w:p>
    <w:p w:rsidR="00E34FF0" w:rsidRPr="0013565A" w:rsidRDefault="00E34FF0" w:rsidP="00E34FF0">
      <w:pPr>
        <w:tabs>
          <w:tab w:val="left" w:pos="1134"/>
          <w:tab w:val="left" w:pos="6379"/>
          <w:tab w:val="right" w:pos="7655"/>
          <w:tab w:val="left" w:pos="8080"/>
          <w:tab w:val="right" w:pos="9356"/>
        </w:tabs>
        <w:spacing w:after="0" w:line="240" w:lineRule="auto"/>
        <w:ind w:left="360"/>
        <w:jc w:val="both"/>
        <w:rPr>
          <w:rFonts w:ascii="Times New Roman" w:eastAsia="Times New Roman" w:hAnsi="Times New Roman" w:cs="Times New Roman"/>
          <w:bCs/>
          <w:iCs/>
          <w:sz w:val="20"/>
          <w:szCs w:val="20"/>
          <w:lang w:val="es-ES"/>
        </w:rPr>
      </w:pP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Gobierno del Estado de Chihuahua, a partir del 1 de enero de 2012, elabora sus registros contables con base acumulativa y en apego al marco conceptual y postulados básicos emitidos por el CONAC.</w:t>
      </w: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p>
    <w:p w:rsidR="00E34FF0" w:rsidRPr="0013565A" w:rsidRDefault="00E34FF0" w:rsidP="00E34FF0">
      <w:pPr>
        <w:numPr>
          <w:ilvl w:val="1"/>
          <w:numId w:val="2"/>
        </w:numPr>
        <w:tabs>
          <w:tab w:val="num" w:pos="1134"/>
        </w:tabs>
        <w:spacing w:after="0" w:line="240" w:lineRule="exact"/>
        <w:ind w:left="1134" w:hanging="567"/>
        <w:contextualSpacing/>
        <w:jc w:val="both"/>
        <w:rPr>
          <w:rFonts w:ascii="Times New Roman" w:eastAsia="Times New Roman" w:hAnsi="Times New Roman" w:cs="Times New Roman"/>
          <w:bCs/>
          <w:iCs/>
          <w:sz w:val="20"/>
          <w:szCs w:val="20"/>
        </w:rPr>
      </w:pPr>
      <w:r w:rsidRPr="0013565A">
        <w:rPr>
          <w:rFonts w:ascii="Times New Roman" w:eastAsia="Times New Roman" w:hAnsi="Times New Roman" w:cs="Times New Roman"/>
          <w:b/>
          <w:i/>
          <w:sz w:val="20"/>
          <w:szCs w:val="20"/>
        </w:rPr>
        <w:t xml:space="preserve">Postulados básicos </w:t>
      </w:r>
      <w:r w:rsidRPr="0013565A">
        <w:rPr>
          <w:rFonts w:ascii="Times New Roman" w:eastAsia="Times New Roman" w:hAnsi="Times New Roman" w:cs="Times New Roman"/>
          <w:i/>
          <w:sz w:val="20"/>
          <w:szCs w:val="20"/>
        </w:rPr>
        <w:t>-</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bCs/>
          <w:iCs/>
          <w:sz w:val="20"/>
          <w:szCs w:val="20"/>
        </w:rPr>
        <w:t xml:space="preserve"> de Chihuahua tiene la obligación de apegarse en la preparación de sus estados financieros de acuerdo a los postulados básicos emitidos por el CONAC.</w:t>
      </w:r>
    </w:p>
    <w:p w:rsidR="00E34FF0" w:rsidRPr="0013565A" w:rsidRDefault="00E34FF0" w:rsidP="00E34FF0">
      <w:pPr>
        <w:autoSpaceDE w:val="0"/>
        <w:autoSpaceDN w:val="0"/>
        <w:adjustRightInd w:val="0"/>
        <w:spacing w:after="0" w:line="240" w:lineRule="auto"/>
        <w:ind w:left="1080"/>
        <w:contextualSpacing/>
        <w:jc w:val="both"/>
        <w:rPr>
          <w:rFonts w:ascii="Times New Roman" w:eastAsia="Times New Roman" w:hAnsi="Times New Roman" w:cs="Times New Roman"/>
          <w:b/>
          <w:i/>
          <w:sz w:val="20"/>
          <w:szCs w:val="20"/>
        </w:rPr>
      </w:pPr>
    </w:p>
    <w:p w:rsidR="00E34FF0" w:rsidRPr="0013565A" w:rsidRDefault="00E34FF0" w:rsidP="00E34FF0">
      <w:pPr>
        <w:numPr>
          <w:ilvl w:val="1"/>
          <w:numId w:val="2"/>
        </w:numPr>
        <w:tabs>
          <w:tab w:val="num" w:pos="1134"/>
        </w:tabs>
        <w:spacing w:after="0" w:line="240" w:lineRule="auto"/>
        <w:ind w:left="1134"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Estados financieros básicos -</w:t>
      </w:r>
      <w:r w:rsidRPr="0013565A">
        <w:rPr>
          <w:rFonts w:ascii="Times New Roman" w:eastAsia="Times New Roman" w:hAnsi="Times New Roman" w:cs="Times New Roman"/>
          <w:sz w:val="20"/>
          <w:szCs w:val="20"/>
        </w:rPr>
        <w:t xml:space="preserve"> Conforme a las políticas de información financiera establecidas por </w:t>
      </w:r>
      <w:r w:rsidRPr="0013565A">
        <w:rPr>
          <w:rFonts w:ascii="Times New Roman" w:eastAsia="Times New Roman" w:hAnsi="Times New Roman" w:cs="Times New Roman"/>
          <w:bCs/>
          <w:iCs/>
          <w:sz w:val="20"/>
          <w:szCs w:val="20"/>
          <w:lang w:val="es-ES"/>
        </w:rPr>
        <w:t>la LGCG</w:t>
      </w:r>
      <w:r w:rsidRPr="0013565A">
        <w:rPr>
          <w:rFonts w:ascii="Times New Roman" w:eastAsia="Times New Roman" w:hAnsi="Times New Roman" w:cs="Times New Roman"/>
          <w:sz w:val="20"/>
          <w:szCs w:val="20"/>
        </w:rPr>
        <w:t>, se presentan como estados financieros básicos, el Estado de Situación Financiera, Estado de Actividades, Estado de Variaciones en la Hacienda Pública / Patrimonio, Estado Analítico del Activo, Estado Analítico de la Deuda y Otros Pasivos</w:t>
      </w:r>
      <w:r>
        <w:rPr>
          <w:rFonts w:ascii="Times New Roman" w:eastAsia="Times New Roman" w:hAnsi="Times New Roman" w:cs="Times New Roman"/>
          <w:sz w:val="20"/>
          <w:szCs w:val="20"/>
        </w:rPr>
        <w:t>, Estado de Flujos de Efectivo,</w:t>
      </w:r>
      <w:r w:rsidRPr="0013565A">
        <w:rPr>
          <w:rFonts w:ascii="Times New Roman" w:eastAsia="Times New Roman" w:hAnsi="Times New Roman" w:cs="Times New Roman"/>
          <w:sz w:val="20"/>
          <w:szCs w:val="20"/>
        </w:rPr>
        <w:t xml:space="preserve"> de Cambios en la Situación Financiera</w:t>
      </w:r>
      <w:r>
        <w:rPr>
          <w:rFonts w:ascii="Times New Roman" w:eastAsia="Times New Roman" w:hAnsi="Times New Roman" w:cs="Times New Roman"/>
          <w:sz w:val="20"/>
          <w:szCs w:val="20"/>
        </w:rPr>
        <w:t xml:space="preserve"> y el Informe de Pasivos Contingentes</w:t>
      </w:r>
      <w:r w:rsidRPr="0013565A">
        <w:rPr>
          <w:rFonts w:ascii="Times New Roman" w:eastAsia="Times New Roman" w:hAnsi="Times New Roman" w:cs="Times New Roman"/>
          <w:sz w:val="20"/>
          <w:szCs w:val="20"/>
        </w:rPr>
        <w:t xml:space="preserve"> de conformidad con el acuerdo que reforma el capítulo III y VII del Manual de Contabilidad Gubernamental. </w:t>
      </w:r>
    </w:p>
    <w:p w:rsidR="00E34FF0" w:rsidRPr="0013565A" w:rsidRDefault="00E34FF0" w:rsidP="00E34FF0">
      <w:pPr>
        <w:spacing w:after="0" w:line="240" w:lineRule="auto"/>
        <w:ind w:left="851"/>
        <w:rPr>
          <w:rFonts w:ascii="Times New Roman" w:eastAsia="Times New Roman" w:hAnsi="Times New Roman" w:cs="Times New Roman"/>
          <w:sz w:val="20"/>
          <w:szCs w:val="20"/>
        </w:rPr>
      </w:pPr>
    </w:p>
    <w:p w:rsidR="00E34FF0" w:rsidRPr="0013565A" w:rsidRDefault="00E34FF0" w:rsidP="00E34FF0">
      <w:pPr>
        <w:numPr>
          <w:ilvl w:val="0"/>
          <w:numId w:val="4"/>
        </w:numPr>
        <w:spacing w:after="0" w:line="240" w:lineRule="exact"/>
        <w:ind w:left="567" w:hanging="567"/>
        <w:rPr>
          <w:rFonts w:ascii="Times New Roman" w:eastAsia="Times New Roman" w:hAnsi="Times New Roman" w:cs="Times New Roman"/>
          <w:b/>
          <w:sz w:val="20"/>
          <w:szCs w:val="20"/>
        </w:rPr>
      </w:pPr>
      <w:r w:rsidRPr="0013565A">
        <w:rPr>
          <w:rFonts w:ascii="Times New Roman" w:eastAsia="Times New Roman" w:hAnsi="Times New Roman" w:cs="Times New Roman"/>
          <w:b/>
          <w:sz w:val="20"/>
          <w:szCs w:val="20"/>
        </w:rPr>
        <w:t>Resumen de las principales políticas contables</w:t>
      </w:r>
    </w:p>
    <w:p w:rsidR="00E34FF0" w:rsidRPr="0013565A" w:rsidRDefault="00E34FF0" w:rsidP="00E34FF0">
      <w:pPr>
        <w:spacing w:after="0" w:line="240" w:lineRule="exact"/>
        <w:ind w:left="709"/>
        <w:rPr>
          <w:rFonts w:ascii="Times New Roman" w:eastAsia="Times New Roman" w:hAnsi="Times New Roman" w:cs="Times New Roman"/>
          <w:sz w:val="20"/>
          <w:szCs w:val="20"/>
        </w:rPr>
      </w:pPr>
    </w:p>
    <w:p w:rsidR="00E34FF0" w:rsidRPr="0013565A" w:rsidRDefault="00E34FF0" w:rsidP="00E34FF0">
      <w:pPr>
        <w:spacing w:after="0" w:line="240" w:lineRule="auto"/>
        <w:ind w:left="567"/>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Los estados financieros adjuntos, están preparados conforme a las bases específicas de contabilización de la LGCG.</w:t>
      </w:r>
    </w:p>
    <w:p w:rsidR="00E34FF0" w:rsidRPr="0013565A" w:rsidRDefault="00E34FF0" w:rsidP="00E34FF0">
      <w:pPr>
        <w:tabs>
          <w:tab w:val="left" w:pos="1134"/>
        </w:tabs>
        <w:spacing w:after="0" w:line="240" w:lineRule="exact"/>
        <w:ind w:left="1134"/>
        <w:rPr>
          <w:rFonts w:ascii="Times New Roman" w:eastAsia="Times New Roman" w:hAnsi="Times New Roman" w:cs="Times New Roman"/>
          <w:sz w:val="20"/>
          <w:lang w:val="es-ES_tradnl"/>
        </w:rPr>
      </w:pPr>
    </w:p>
    <w:p w:rsidR="00E34FF0" w:rsidRPr="0013565A" w:rsidRDefault="00E34FF0" w:rsidP="00E34FF0">
      <w:pPr>
        <w:numPr>
          <w:ilvl w:val="0"/>
          <w:numId w:val="5"/>
        </w:numPr>
        <w:tabs>
          <w:tab w:val="left" w:pos="1134"/>
        </w:tabs>
        <w:spacing w:after="0" w:line="240" w:lineRule="exact"/>
        <w:ind w:left="1134" w:hanging="414"/>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 xml:space="preserve">Efectivo y equivalentes de efectivo </w:t>
      </w:r>
      <w:r w:rsidRPr="0013565A">
        <w:rPr>
          <w:rFonts w:ascii="Times New Roman" w:eastAsia="Times New Roman" w:hAnsi="Times New Roman" w:cs="Times New Roman"/>
          <w:sz w:val="20"/>
          <w:szCs w:val="20"/>
        </w:rPr>
        <w:t>– Consisten principalmente en depósitos bancarios en cuentas de cheques e inversiones en valores a corto plazo, de gran liquidez, fácilmente convertibles en efectivo y sujetos a riesgos poco significativos de cambios en valor. El efectivo se presenta a su valor nominal y los equivalentes a su valor razonable; las fluctuaciones en su valor, en los casos de fondos específicos que es un efectivo restringido, se reconocen en una cuenta pasivo hasta que se obtiene la autorización de las autoridades correspondientes para disponer de dichos recursos.</w:t>
      </w:r>
    </w:p>
    <w:p w:rsidR="00E34FF0" w:rsidRPr="0013565A" w:rsidRDefault="00E34FF0" w:rsidP="00E34FF0">
      <w:pPr>
        <w:spacing w:after="0" w:line="240" w:lineRule="auto"/>
        <w:ind w:left="708" w:hanging="873"/>
        <w:jc w:val="both"/>
        <w:rPr>
          <w:rFonts w:ascii="Times New Roman" w:eastAsia="Times New Roman" w:hAnsi="Times New Roman" w:cs="Times New Roman"/>
          <w:sz w:val="20"/>
          <w:szCs w:val="20"/>
        </w:rPr>
      </w:pPr>
    </w:p>
    <w:p w:rsidR="00E34FF0" w:rsidRPr="0013565A" w:rsidRDefault="00E34FF0" w:rsidP="00E34FF0">
      <w:pPr>
        <w:numPr>
          <w:ilvl w:val="0"/>
          <w:numId w:val="5"/>
        </w:numPr>
        <w:tabs>
          <w:tab w:val="left" w:pos="1134"/>
        </w:tabs>
        <w:spacing w:after="0" w:line="240" w:lineRule="exact"/>
        <w:ind w:left="1134" w:hanging="425"/>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Efectivo o equivalentes de efectivo a recibir</w:t>
      </w:r>
      <w:r>
        <w:rPr>
          <w:rFonts w:ascii="Times New Roman" w:eastAsia="Times New Roman" w:hAnsi="Times New Roman" w:cs="Times New Roman"/>
          <w:b/>
          <w:i/>
          <w:sz w:val="20"/>
          <w:szCs w:val="20"/>
        </w:rPr>
        <w:t xml:space="preserve"> y bienes o servicios a recibir</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sz w:val="20"/>
          <w:szCs w:val="20"/>
        </w:rPr>
        <w:t>– Contemplan los subsidios de ejercicios anteriores e, inclusive, los del propio ejercicio, correspondientes a aportaciones, convenios o mi</w:t>
      </w:r>
      <w:bookmarkStart w:id="0" w:name="_GoBack"/>
      <w:bookmarkEnd w:id="0"/>
      <w:r w:rsidRPr="0013565A">
        <w:rPr>
          <w:rFonts w:ascii="Times New Roman" w:eastAsia="Times New Roman" w:hAnsi="Times New Roman" w:cs="Times New Roman"/>
          <w:sz w:val="20"/>
          <w:szCs w:val="20"/>
        </w:rPr>
        <w:t>nistraciones estatales y federales.</w:t>
      </w:r>
    </w:p>
    <w:p w:rsidR="00E34FF0" w:rsidRPr="0013565A" w:rsidRDefault="00E34FF0" w:rsidP="00E34FF0">
      <w:pPr>
        <w:spacing w:after="0" w:line="240" w:lineRule="exact"/>
        <w:ind w:left="425" w:hanging="873"/>
        <w:jc w:val="both"/>
        <w:rPr>
          <w:rFonts w:ascii="Times New Roman" w:eastAsia="Times New Roman" w:hAnsi="Times New Roman" w:cs="Times New Roman"/>
          <w:sz w:val="20"/>
          <w:szCs w:val="20"/>
        </w:rPr>
      </w:pPr>
    </w:p>
    <w:p w:rsidR="00E34FF0" w:rsidRPr="0013565A" w:rsidRDefault="00E34FF0" w:rsidP="00E34FF0">
      <w:pPr>
        <w:tabs>
          <w:tab w:val="left" w:pos="1134"/>
        </w:tabs>
        <w:spacing w:after="0" w:line="240" w:lineRule="exact"/>
        <w:ind w:left="709"/>
        <w:jc w:val="both"/>
        <w:rPr>
          <w:rFonts w:ascii="Times New Roman" w:eastAsia="Times New Roman" w:hAnsi="Times New Roman" w:cs="Times New Roman"/>
          <w:sz w:val="20"/>
          <w:szCs w:val="20"/>
        </w:rPr>
      </w:pPr>
      <w:r w:rsidRPr="00B10C4F">
        <w:rPr>
          <w:rFonts w:ascii="Times New Roman" w:eastAsia="Times New Roman" w:hAnsi="Times New Roman" w:cs="Times New Roman"/>
          <w:i/>
          <w:sz w:val="20"/>
          <w:szCs w:val="20"/>
        </w:rPr>
        <w:t>c.</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Bienes inmuebles y muebles</w:t>
      </w:r>
      <w:r w:rsidRPr="0013565A">
        <w:rPr>
          <w:rFonts w:ascii="Times New Roman" w:eastAsia="Times New Roman" w:hAnsi="Times New Roman" w:cs="Times New Roman"/>
          <w:b/>
          <w:sz w:val="20"/>
          <w:szCs w:val="20"/>
        </w:rPr>
        <w:t xml:space="preserve"> </w:t>
      </w:r>
      <w:r w:rsidRPr="0013565A">
        <w:rPr>
          <w:rFonts w:ascii="Times New Roman" w:eastAsia="Times New Roman" w:hAnsi="Times New Roman" w:cs="Times New Roman"/>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registra sus activos de la forma siguiente:</w:t>
      </w:r>
    </w:p>
    <w:p w:rsidR="00E34FF0" w:rsidRPr="0013565A" w:rsidRDefault="00E34FF0" w:rsidP="00E34FF0">
      <w:pPr>
        <w:spacing w:after="0" w:line="240" w:lineRule="exact"/>
        <w:ind w:left="2127" w:hanging="709"/>
        <w:jc w:val="both"/>
        <w:rPr>
          <w:rFonts w:ascii="Times New Roman" w:eastAsia="Times New Roman" w:hAnsi="Times New Roman" w:cs="Times New Roman"/>
          <w:sz w:val="20"/>
          <w:szCs w:val="20"/>
        </w:rPr>
      </w:pPr>
    </w:p>
    <w:p w:rsidR="00E34FF0" w:rsidRPr="0013565A" w:rsidRDefault="00E34FF0" w:rsidP="00E34FF0">
      <w:pPr>
        <w:numPr>
          <w:ilvl w:val="3"/>
          <w:numId w:val="3"/>
        </w:numPr>
        <w:tabs>
          <w:tab w:val="left"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 xml:space="preserve">Los inmuebles, mobiliario y equipo adquiridos por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de Chihuahua se registran al costo de adquisición, y en su caso, aplicando los criterios de los documentos que describen las principales reglas de registro y valoración del patrimonio, emitidas por el CONAC.</w:t>
      </w:r>
    </w:p>
    <w:p w:rsidR="00E34FF0" w:rsidRPr="0013565A" w:rsidRDefault="00E34FF0" w:rsidP="00326C47">
      <w:pPr>
        <w:tabs>
          <w:tab w:val="left" w:pos="1701"/>
        </w:tabs>
        <w:spacing w:after="0" w:line="240" w:lineRule="exact"/>
        <w:ind w:left="2520"/>
        <w:jc w:val="both"/>
        <w:rPr>
          <w:rFonts w:ascii="Times New Roman" w:eastAsia="Times New Roman" w:hAnsi="Times New Roman" w:cs="Times New Roman"/>
          <w:sz w:val="20"/>
          <w:szCs w:val="20"/>
        </w:rPr>
      </w:pPr>
    </w:p>
    <w:p w:rsidR="001653AA" w:rsidRPr="00363F63" w:rsidRDefault="00E34FF0"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r w:rsidRPr="0013565A">
        <w:rPr>
          <w:rFonts w:ascii="Times New Roman" w:eastAsia="Times New Roman" w:hAnsi="Times New Roman" w:cs="Times New Roman"/>
          <w:color w:val="000000"/>
          <w:spacing w:val="-4"/>
          <w:sz w:val="20"/>
          <w:szCs w:val="20"/>
          <w:lang w:val="es-ES_tradnl"/>
        </w:rPr>
        <w:t>La depreciación de los bienes muebles se calcula conforme al método de línea recta, como sigue:</w:t>
      </w:r>
    </w:p>
    <w:p w:rsidR="00363F63" w:rsidRDefault="00363F63"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00CD1B85">
        <w:rPr>
          <w:rFonts w:ascii="Times New Roman" w:hAnsi="Times New Roman" w:cs="Times New Roman"/>
          <w:sz w:val="20"/>
          <w:szCs w:val="20"/>
          <w:lang w:val="es-ES_tradnl"/>
        </w:rPr>
        <w:object w:dxaOrig="8000" w:dyaOrig="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99.75pt;height:204.75pt" o:ole="">
            <v:imagedata r:id="rId9" o:title=""/>
          </v:shape>
          <o:OLEObject Type="Embed" ProgID="Excel.Sheet.12" ShapeID="_x0000_i1035" DrawAspect="Content" ObjectID="_1586608491" r:id="rId10"/>
        </w:object>
      </w:r>
      <w:r>
        <w:rPr>
          <w:rFonts w:ascii="Times New Roman" w:hAnsi="Times New Roman" w:cs="Times New Roman"/>
          <w:sz w:val="20"/>
          <w:szCs w:val="20"/>
          <w:lang w:val="es-ES_tradnl"/>
        </w:rPr>
        <w:t xml:space="preserve">                     </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rPr>
        <w:lastRenderedPageBreak/>
        <w:t>2.</w:t>
      </w:r>
      <w:r w:rsidRPr="0013565A">
        <w:rPr>
          <w:rFonts w:ascii="Times New Roman" w:eastAsia="Times New Roman" w:hAnsi="Times New Roman" w:cs="Times New Roman"/>
          <w:sz w:val="20"/>
          <w:szCs w:val="20"/>
        </w:rPr>
        <w:tab/>
      </w:r>
      <w:r w:rsidRPr="0013565A">
        <w:rPr>
          <w:rFonts w:ascii="Times New Roman" w:eastAsia="Times New Roman" w:hAnsi="Times New Roman" w:cs="Times New Roman"/>
          <w:sz w:val="20"/>
          <w:szCs w:val="20"/>
          <w:lang w:val="es-ES_tradnl"/>
        </w:rPr>
        <w:t xml:space="preserve">De conformidad con el documento publicado el 8 de agosto de 2013, respecto a las Reglas de Registro y Valoración de Patrimonio, se tiene la obligación de conciliar el inventario de bienes inmuebles y muebles con los registros contables y reconocer su depreciación al 31 de diciembre de </w:t>
      </w:r>
      <w:r>
        <w:rPr>
          <w:rFonts w:ascii="Times New Roman" w:eastAsia="Times New Roman" w:hAnsi="Times New Roman" w:cs="Times New Roman"/>
          <w:sz w:val="20"/>
          <w:szCs w:val="20"/>
          <w:lang w:val="es-ES_tradnl"/>
        </w:rPr>
        <w:t>2014. El 31 de diciembre de 2016</w:t>
      </w:r>
      <w:r w:rsidR="00E86E69">
        <w:rPr>
          <w:rFonts w:ascii="Times New Roman" w:eastAsia="Times New Roman" w:hAnsi="Times New Roman" w:cs="Times New Roman"/>
          <w:sz w:val="20"/>
          <w:szCs w:val="20"/>
          <w:lang w:val="es-ES_tradnl"/>
        </w:rPr>
        <w:t xml:space="preserve"> y 2017</w:t>
      </w:r>
      <w:r w:rsidRPr="0013565A">
        <w:rPr>
          <w:rFonts w:ascii="Times New Roman" w:eastAsia="Times New Roman" w:hAnsi="Times New Roman" w:cs="Times New Roman"/>
          <w:sz w:val="20"/>
          <w:szCs w:val="20"/>
          <w:lang w:val="es-ES_tradnl"/>
        </w:rPr>
        <w:t>, el Gobierno del Estado de Chihuahua reconoció la depreciación a</w:t>
      </w:r>
      <w:r w:rsidR="00E86E69">
        <w:rPr>
          <w:rFonts w:ascii="Times New Roman" w:eastAsia="Times New Roman" w:hAnsi="Times New Roman" w:cs="Times New Roman"/>
          <w:sz w:val="20"/>
          <w:szCs w:val="20"/>
          <w:lang w:val="es-ES_tradnl"/>
        </w:rPr>
        <w:t>cumulada de los bienes muebles</w:t>
      </w:r>
      <w:r w:rsidRPr="00E86E69">
        <w:rPr>
          <w:rFonts w:ascii="Times New Roman" w:eastAsia="Times New Roman" w:hAnsi="Times New Roman" w:cs="Times New Roman"/>
          <w:sz w:val="20"/>
          <w:szCs w:val="20"/>
          <w:lang w:val="es-ES_tradnl"/>
        </w:rPr>
        <w:t>. El Gobierno del Estado de Chihuahua se encuentra en proceso</w:t>
      </w:r>
      <w:r w:rsidRPr="0013565A">
        <w:rPr>
          <w:rFonts w:ascii="Times New Roman" w:eastAsia="Times New Roman" w:hAnsi="Times New Roman" w:cs="Times New Roman"/>
          <w:sz w:val="20"/>
          <w:szCs w:val="20"/>
          <w:lang w:val="es-ES_tradnl"/>
        </w:rPr>
        <w:t xml:space="preserve"> de obtener los dictámenes técnicos sobre las vidas útiles estimadas de los bienes inmuebles para su respectiva autorización, por lo que la depreciación de los bienes inmuebles no ha sido reconocida.</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p>
    <w:p w:rsidR="00363F63" w:rsidRPr="001A1721" w:rsidRDefault="00363F63" w:rsidP="00363F63">
      <w:pPr>
        <w:numPr>
          <w:ilvl w:val="0"/>
          <w:numId w:val="6"/>
        </w:numPr>
        <w:tabs>
          <w:tab w:val="num"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lang w:val="es-ES_tradnl"/>
        </w:rPr>
        <w:t xml:space="preserve">Los inmuebles que se construyen por el propio </w:t>
      </w:r>
      <w:r w:rsidRPr="0013565A">
        <w:rPr>
          <w:rFonts w:ascii="Times New Roman" w:eastAsia="Times New Roman" w:hAnsi="Times New Roman" w:cs="Times New Roman"/>
          <w:bCs/>
          <w:iCs/>
          <w:sz w:val="20"/>
          <w:szCs w:val="20"/>
          <w:lang w:val="es-ES"/>
        </w:rPr>
        <w:t>Gobierno del Estado</w:t>
      </w:r>
      <w:r w:rsidRPr="0013565A">
        <w:rPr>
          <w:rFonts w:ascii="Times New Roman" w:eastAsia="Times New Roman" w:hAnsi="Times New Roman" w:cs="Times New Roman"/>
          <w:sz w:val="20"/>
          <w:szCs w:val="20"/>
          <w:lang w:val="es-ES_tradnl"/>
        </w:rPr>
        <w:t xml:space="preserve"> de Chihuahua o las adiciones o mejoras a los mismos, se registran inicialmente al costo de construcción incurrido, aquellos recibidos como donación, se registran al valor consignado en la escritura.</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Default="00363F63" w:rsidP="00363F63">
      <w:pPr>
        <w:spacing w:after="0" w:line="240" w:lineRule="auto"/>
        <w:ind w:left="708"/>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363F63" w:rsidRPr="00B10C4F"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d</w:t>
      </w:r>
      <w:r>
        <w:rPr>
          <w:rFonts w:ascii="Times New Roman" w:eastAsia="Times New Roman" w:hAnsi="Times New Roman" w:cs="Times New Roman"/>
          <w:b/>
          <w:i/>
          <w:sz w:val="20"/>
          <w:szCs w:val="20"/>
        </w:rPr>
        <w:t xml:space="preserve">.    </w:t>
      </w:r>
      <w:r w:rsidRPr="001A1721">
        <w:rPr>
          <w:rFonts w:ascii="Times New Roman" w:eastAsia="Times New Roman" w:hAnsi="Times New Roman" w:cs="Times New Roman"/>
          <w:b/>
          <w:i/>
          <w:sz w:val="20"/>
          <w:szCs w:val="20"/>
        </w:rPr>
        <w:t>Bienes disponibles para su transformación o consumo</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w:t>
      </w:r>
      <w:r w:rsidR="00E86E6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Son bienes que se obtienen para consumo </w:t>
      </w: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 xml:space="preserve">casi inmediato, es decir se compran para ser utilizados </w:t>
      </w:r>
      <w:r>
        <w:rPr>
          <w:rFonts w:ascii="Times New Roman" w:eastAsia="Times New Roman" w:hAnsi="Times New Roman" w:cs="Times New Roman"/>
          <w:sz w:val="20"/>
          <w:szCs w:val="20"/>
        </w:rPr>
        <w:t>en algo específico, por lo que no hay un método de valuación ni sistema de costeo.</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sidRPr="00B10C4F">
        <w:rPr>
          <w:rFonts w:ascii="Times New Roman" w:eastAsia="Times New Roman" w:hAnsi="Times New Roman" w:cs="Times New Roman"/>
          <w:sz w:val="20"/>
          <w:szCs w:val="20"/>
        </w:rPr>
        <w:t xml:space="preserve">   e</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Provisiones – </w:t>
      </w:r>
      <w:r w:rsidRPr="0013565A">
        <w:rPr>
          <w:rFonts w:ascii="Times New Roman" w:eastAsia="Times New Roman" w:hAnsi="Times New Roman" w:cs="Times New Roman"/>
          <w:sz w:val="20"/>
          <w:szCs w:val="20"/>
        </w:rPr>
        <w:t xml:space="preserve">Se reconocen cuando se tiene una obligación presente como resultado de un evento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pasado, que probablemente resulte en la salida de recursos económicos y que pueda ser estimada razonablemente.</w:t>
      </w:r>
    </w:p>
    <w:p w:rsidR="00363F63"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spacing w:after="0" w:line="240" w:lineRule="auto"/>
        <w:ind w:left="56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Reconocimiento de ingresos – </w:t>
      </w:r>
      <w:r w:rsidRPr="0013565A">
        <w:rPr>
          <w:rFonts w:ascii="Times New Roman" w:eastAsia="Times New Roman" w:hAnsi="Times New Roman" w:cs="Times New Roman"/>
          <w:sz w:val="20"/>
          <w:szCs w:val="20"/>
        </w:rPr>
        <w:t xml:space="preserve"> Se reconocen cuando se tiene el derecho al cobro y se integran de la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siguiente forma:</w:t>
      </w:r>
    </w:p>
    <w:p w:rsidR="00363F63" w:rsidRPr="0013565A" w:rsidRDefault="00363F63" w:rsidP="00363F63">
      <w:pPr>
        <w:spacing w:after="0" w:line="240" w:lineRule="auto"/>
        <w:ind w:left="708"/>
        <w:jc w:val="both"/>
        <w:rPr>
          <w:rFonts w:ascii="Times New Roman" w:eastAsia="Times New Roman" w:hAnsi="Times New Roman" w:cs="Times New Roman"/>
          <w:b/>
          <w:i/>
          <w:sz w:val="20"/>
          <w:szCs w:val="20"/>
        </w:rPr>
      </w:pPr>
    </w:p>
    <w:p w:rsidR="00363F63" w:rsidRDefault="00363F63"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363F63" w:rsidRPr="0013565A" w:rsidRDefault="00363F63" w:rsidP="00363F63">
      <w:pPr>
        <w:tabs>
          <w:tab w:val="left" w:pos="1134"/>
        </w:tabs>
        <w:spacing w:after="0" w:line="240" w:lineRule="auto"/>
        <w:ind w:left="1134" w:hanging="398"/>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Ingresos propios – </w:t>
      </w:r>
      <w:r w:rsidRPr="0013565A">
        <w:rPr>
          <w:rFonts w:ascii="Times New Roman" w:eastAsia="Times New Roman" w:hAnsi="Times New Roman" w:cs="Times New Roman"/>
          <w:sz w:val="20"/>
          <w:szCs w:val="20"/>
          <w:lang w:val="es-ES_tradnl"/>
        </w:rPr>
        <w:t>Los impuestos, derechos, productos, aprovechamientos, y contribuciones extraordinarias, en la forma que lo determina el Código Fiscal del Estado de Chihuahua.</w:t>
      </w:r>
    </w:p>
    <w:p w:rsidR="00363F63"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r>
      <w:r w:rsidRPr="0013565A">
        <w:rPr>
          <w:rFonts w:ascii="Times New Roman" w:eastAsia="Times New Roman" w:hAnsi="Times New Roman" w:cs="Times New Roman"/>
          <w:b/>
          <w:bCs/>
          <w:sz w:val="20"/>
          <w:szCs w:val="20"/>
          <w:lang w:val="es-ES_tradnl"/>
        </w:rPr>
        <w:t xml:space="preserve">Participaciones e incentivos en ingresos fiscales federales – </w:t>
      </w:r>
      <w:r w:rsidRPr="0013565A">
        <w:rPr>
          <w:rFonts w:ascii="Times New Roman" w:eastAsia="Times New Roman" w:hAnsi="Times New Roman" w:cs="Times New Roman"/>
          <w:sz w:val="20"/>
          <w:szCs w:val="20"/>
          <w:lang w:val="es-ES_tradnl"/>
        </w:rPr>
        <w:t xml:space="preserve">El Fondo General de Participaciones, de Fomento Municipal, Impuesto Sobre Tenencia o Uso de Vehículos, Incentivos por actos de fiscalización, Impuesto Especial Sobre Producción y Servicios, Impuesto Especial Sobre Producción y Servicios Gasolina y </w:t>
      </w:r>
      <w:proofErr w:type="spellStart"/>
      <w:r w:rsidRPr="0013565A">
        <w:rPr>
          <w:rFonts w:ascii="Times New Roman" w:eastAsia="Times New Roman" w:hAnsi="Times New Roman" w:cs="Times New Roman"/>
          <w:sz w:val="20"/>
          <w:szCs w:val="20"/>
          <w:lang w:val="es-ES_tradnl"/>
        </w:rPr>
        <w:t>Diesel</w:t>
      </w:r>
      <w:proofErr w:type="spellEnd"/>
      <w:r w:rsidRPr="0013565A">
        <w:rPr>
          <w:rFonts w:ascii="Times New Roman" w:eastAsia="Times New Roman" w:hAnsi="Times New Roman" w:cs="Times New Roman"/>
          <w:sz w:val="20"/>
          <w:szCs w:val="20"/>
          <w:lang w:val="es-ES_tradnl"/>
        </w:rPr>
        <w:t xml:space="preserve"> e Impuestos Sobre Automóviles Nuevos, derivadas de la aplicación del Capítulo I de la Ley de Coordinación Fiscal, y de los convenios de adhesión al Sistema Nacional de Coordinación Fiscal y de colaboración administrativa en materia fiscal federal celebrados por el Gobierno del Estado de Chihuahua, con la Secretaría de Hacienda y Crédito Público del Gobierno Federal.  </w:t>
      </w: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 xml:space="preserve">      </w:t>
      </w:r>
      <w:r w:rsidRPr="0013565A">
        <w:rPr>
          <w:rFonts w:ascii="Times New Roman" w:eastAsia="Times New Roman" w:hAnsi="Times New Roman" w:cs="Times New Roman"/>
          <w:sz w:val="20"/>
          <w:szCs w:val="20"/>
          <w:lang w:val="es-ES_tradnl"/>
        </w:rPr>
        <w:tab/>
        <w:t>El Gobierno del Estado, aporta a su vez a los municipios el 20% del Fondo General de Participaciones,  del Impuesto Especial Sobre Producción y Servicios, del Impuesto Sobre Tenencia o Uso de Vehículos, del Impuesto Sobre Automóviles Nuevos e impuestos obtenidos por el Estado, y el 100% del Fondo de Fomento Municipal.</w:t>
      </w:r>
    </w:p>
    <w:p w:rsidR="00363F63" w:rsidRPr="0013565A" w:rsidRDefault="00363F63" w:rsidP="00363F63">
      <w:pPr>
        <w:tabs>
          <w:tab w:val="left" w:pos="540"/>
        </w:tabs>
        <w:spacing w:after="0" w:line="240" w:lineRule="auto"/>
        <w:ind w:left="540" w:hanging="540"/>
        <w:rPr>
          <w:rFonts w:ascii="Times New Roman" w:eastAsia="Times New Roman" w:hAnsi="Times New Roman" w:cs="Times New Roman"/>
          <w:sz w:val="20"/>
          <w:szCs w:val="20"/>
          <w:lang w:val="es-ES_tradnl"/>
        </w:rPr>
      </w:pPr>
    </w:p>
    <w:p w:rsidR="00326C47" w:rsidRPr="0013565A" w:rsidRDefault="003045A1"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Pr>
          <w:rFonts w:ascii="Times New Roman" w:eastAsia="Times New Roman" w:hAnsi="Times New Roman" w:cs="Times New Roman"/>
          <w:b/>
          <w:bCs/>
          <w:sz w:val="20"/>
          <w:szCs w:val="20"/>
          <w:lang w:val="es-ES_tradnl"/>
        </w:rPr>
        <w:t xml:space="preserve">                         </w:t>
      </w:r>
      <w:r w:rsidR="00326C47" w:rsidRPr="0013565A">
        <w:rPr>
          <w:rFonts w:ascii="Times New Roman" w:eastAsia="Times New Roman" w:hAnsi="Times New Roman" w:cs="Times New Roman"/>
          <w:b/>
          <w:bCs/>
          <w:sz w:val="20"/>
          <w:szCs w:val="20"/>
          <w:lang w:val="es-ES_tradnl"/>
        </w:rPr>
        <w:t xml:space="preserve">Aportaciones federales - </w:t>
      </w:r>
      <w:r w:rsidR="00326C47" w:rsidRPr="0013565A">
        <w:rPr>
          <w:rFonts w:ascii="Times New Roman" w:eastAsia="Times New Roman" w:hAnsi="Times New Roman" w:cs="Times New Roman"/>
          <w:sz w:val="20"/>
          <w:szCs w:val="20"/>
          <w:lang w:val="es-ES_tradnl"/>
        </w:rPr>
        <w:t>De conformidad con el capítulo V de la Ley de Coordinación Fiscal, la Federación transfiere de manera mensual al Estado, fondos de aportaciones federales, condicionando su gasto a la consecución y cumplimiento de los objetivos que para cada tipo de aportación establece dicha Ley. Los fondos transferidos son:  Fondo de Aportaciones para la Educación Básica y Normal, Fondo de Aportaciones para los Servicios de Salud, Fondo de Aportaciones para la Infraestructura Social (Estatal y Municipal), Fondo de Aportaciones para el Fortalecimiento de los Municipios y el D.F., Fondo de Aportaciones Múltiples, Fondo de Aportaciones para la Educación Tecnológica y de Adultos,  Fondo de Aportaciones para la Seguridad Pública de los Estados y el Distrito Federal y Fondo de Aportaciones para el Fortalecimiento de las Entidades Federativas.  Estas aportaciones son administradas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t xml:space="preserve">El Fondo de Aportaciones para la Educación Básica y Normal, Fondo de Aportaciones para los Servicios de Salud, y Fondo de Aportaciones para la Educación Tecnológica y de Adultos son ejercidos directamente por los Organismos Públicos Descentralizados correspondientes; el Fondo de Aportaciones para la Infraestructura Social Municipal y el Fondo para el Fortalecimiento de los Municipios y el Distrito Federal son ejercidos por </w:t>
      </w:r>
      <w:r w:rsidRPr="0013565A">
        <w:rPr>
          <w:rFonts w:ascii="Times New Roman" w:eastAsia="Times New Roman" w:hAnsi="Times New Roman" w:cs="Times New Roman"/>
          <w:sz w:val="20"/>
          <w:szCs w:val="20"/>
          <w:lang w:val="es-ES_tradnl"/>
        </w:rPr>
        <w:lastRenderedPageBreak/>
        <w:t>los 67 municipios del Estado.  El Fondo de Aportaciones para la Infraestructura Social Estatal, Fondo de Aportaciones Múltiples, Fondo de Aportaciones para la Seguridad Pública de los Estados y el Distrito Federal, y Fondo para el Fortalecimiento de las Entidades Federativas son ejercidos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Transferencias federales – </w:t>
      </w:r>
      <w:r w:rsidRPr="0013565A">
        <w:rPr>
          <w:rFonts w:ascii="Times New Roman" w:eastAsia="Times New Roman" w:hAnsi="Times New Roman" w:cs="Times New Roman"/>
          <w:sz w:val="20"/>
          <w:szCs w:val="20"/>
          <w:lang w:val="es-ES_tradnl"/>
        </w:rPr>
        <w:t>Los recibidos para apoyo financiero y programas específicos recibidos de parte del Gobierno Federal.</w:t>
      </w:r>
    </w:p>
    <w:p w:rsidR="00326C47" w:rsidRPr="0013565A" w:rsidRDefault="00326C47" w:rsidP="00326C47">
      <w:pPr>
        <w:tabs>
          <w:tab w:val="left" w:pos="540"/>
        </w:tabs>
        <w:spacing w:after="0" w:line="240" w:lineRule="auto"/>
        <w:jc w:val="both"/>
        <w:rPr>
          <w:rFonts w:ascii="Times New Roman" w:eastAsia="Times New Roman" w:hAnsi="Times New Roman" w:cs="Times New Roman"/>
          <w:b/>
          <w:bCs/>
          <w:sz w:val="20"/>
          <w:szCs w:val="20"/>
          <w:lang w:val="es-ES_tradnl"/>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Ingresos derivados de endeudamiento – </w:t>
      </w:r>
      <w:r w:rsidRPr="0013565A">
        <w:rPr>
          <w:rFonts w:ascii="Times New Roman" w:eastAsia="Times New Roman" w:hAnsi="Times New Roman" w:cs="Times New Roman"/>
          <w:sz w:val="20"/>
          <w:szCs w:val="20"/>
          <w:lang w:val="es-ES_tradnl"/>
        </w:rPr>
        <w:t>Los obtenidos por créditos, empréstitos y obligaciones a cargo del Estado aprobados por el Congreso del Estado de Chihuahua destinados para la realización de obras de infraestructura física.</w:t>
      </w: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spacing w:after="0" w:line="240" w:lineRule="exact"/>
        <w:jc w:val="both"/>
        <w:rPr>
          <w:rFonts w:ascii="Times New Roman" w:eastAsia="Times New Roman" w:hAnsi="Times New Roman" w:cs="Times New Roman"/>
          <w:b/>
          <w:bCs/>
          <w:sz w:val="20"/>
        </w:rPr>
      </w:pPr>
      <w:r w:rsidRPr="0013565A">
        <w:rPr>
          <w:rFonts w:ascii="Times New Roman" w:eastAsia="Times New Roman" w:hAnsi="Times New Roman" w:cs="Times New Roman"/>
          <w:b/>
          <w:bCs/>
          <w:sz w:val="20"/>
        </w:rPr>
        <w:t>Notas de desglose</w:t>
      </w:r>
    </w:p>
    <w:p w:rsidR="00326C47" w:rsidRPr="0013565A" w:rsidRDefault="00326C47" w:rsidP="00326C47">
      <w:pPr>
        <w:spacing w:after="0" w:line="240" w:lineRule="exact"/>
        <w:jc w:val="both"/>
        <w:rPr>
          <w:rFonts w:ascii="Times New Roman" w:eastAsia="Times New Roman" w:hAnsi="Times New Roman" w:cs="Times New Roman"/>
          <w:b/>
          <w:bCs/>
          <w:sz w:val="20"/>
        </w:rPr>
      </w:pPr>
    </w:p>
    <w:p w:rsidR="00326C47" w:rsidRPr="0013565A" w:rsidRDefault="0039238E" w:rsidP="00326C47">
      <w:pPr>
        <w:numPr>
          <w:ilvl w:val="0"/>
          <w:numId w:val="4"/>
        </w:numPr>
        <w:spacing w:after="0" w:line="240" w:lineRule="exact"/>
        <w:ind w:left="567" w:hanging="567"/>
        <w:jc w:val="both"/>
        <w:rPr>
          <w:rFonts w:ascii="Times New Roman" w:eastAsia="Times New Roman" w:hAnsi="Times New Roman" w:cs="Times New Roman"/>
          <w:bCs/>
          <w:sz w:val="20"/>
          <w:lang w:val="es-ES_tradnl"/>
        </w:rPr>
      </w:pPr>
      <w:r>
        <w:rPr>
          <w:rFonts w:ascii="Times New Roman" w:eastAsia="Times New Roman" w:hAnsi="Times New Roman" w:cs="Times New Roman"/>
          <w:b/>
          <w:sz w:val="20"/>
          <w:lang w:val="es-ES_tradnl"/>
        </w:rPr>
        <w:t>Notas al Estado de Situación F</w:t>
      </w:r>
      <w:r w:rsidR="00326C47" w:rsidRPr="0013565A">
        <w:rPr>
          <w:rFonts w:ascii="Times New Roman" w:eastAsia="Times New Roman" w:hAnsi="Times New Roman" w:cs="Times New Roman"/>
          <w:b/>
          <w:sz w:val="20"/>
          <w:lang w:val="es-ES_tradnl"/>
        </w:rPr>
        <w:t>inanciera</w:t>
      </w:r>
    </w:p>
    <w:p w:rsidR="00326C47" w:rsidRPr="0013565A" w:rsidRDefault="00326C47" w:rsidP="00326C47">
      <w:pPr>
        <w:spacing w:after="0" w:line="240" w:lineRule="exact"/>
        <w:ind w:left="567"/>
        <w:jc w:val="both"/>
        <w:rPr>
          <w:rFonts w:ascii="Times New Roman" w:eastAsia="Times New Roman" w:hAnsi="Times New Roman" w:cs="Times New Roman"/>
          <w:bCs/>
          <w:sz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13565A">
        <w:rPr>
          <w:rFonts w:ascii="Times New Roman" w:eastAsia="Times New Roman" w:hAnsi="Times New Roman" w:cs="Times New Roman"/>
          <w:b/>
          <w:bCs/>
          <w:sz w:val="20"/>
          <w:szCs w:val="20"/>
          <w:lang w:val="es-ES_tradnl"/>
        </w:rPr>
        <w:t xml:space="preserve">Efectivo y equivalentes de efectivo - </w:t>
      </w:r>
      <w:r w:rsidRPr="0013565A">
        <w:rPr>
          <w:rFonts w:ascii="Times New Roman" w:eastAsia="Times New Roman" w:hAnsi="Times New Roman" w:cs="Times New Roman"/>
          <w:bCs/>
          <w:sz w:val="20"/>
          <w:szCs w:val="20"/>
          <w:lang w:val="es-ES_tradnl"/>
        </w:rPr>
        <w:t xml:space="preserve">El efectivo y equivalentes de efectivo se integra principalmente por depósitos bancarios de recursos propios y cuentas de cheques que se manejan para controlar los recursos recibidos. </w:t>
      </w: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4E7A65">
        <w:rPr>
          <w:rFonts w:ascii="Times New Roman" w:eastAsia="Times New Roman" w:hAnsi="Times New Roman" w:cs="Times New Roman"/>
          <w:bCs/>
          <w:sz w:val="20"/>
          <w:szCs w:val="20"/>
          <w:lang w:val="es-ES_tradnl"/>
        </w:rPr>
        <w:t>Los</w:t>
      </w:r>
      <w:r w:rsidRPr="0013565A">
        <w:rPr>
          <w:rFonts w:ascii="Times New Roman" w:eastAsia="Times New Roman" w:hAnsi="Times New Roman" w:cs="Times New Roman"/>
          <w:bCs/>
          <w:sz w:val="20"/>
          <w:szCs w:val="20"/>
          <w:lang w:val="es-ES_tradnl"/>
        </w:rPr>
        <w:t xml:space="preserve"> importes registrados en el efectivo su vencimiento o disponibilidad es menor a los 3 meses.</w:t>
      </w:r>
    </w:p>
    <w:p w:rsidR="00363F63" w:rsidRDefault="00363F63" w:rsidP="00363F63">
      <w:pPr>
        <w:tabs>
          <w:tab w:val="left" w:pos="1473"/>
        </w:tabs>
        <w:rPr>
          <w:rFonts w:ascii="Times New Roman" w:hAnsi="Times New Roman" w:cs="Times New Roman"/>
          <w:sz w:val="20"/>
          <w:szCs w:val="20"/>
          <w:lang w:val="es-ES_tradnl"/>
        </w:rPr>
      </w:pPr>
    </w:p>
    <w:p w:rsidR="00326C47" w:rsidRDefault="00326C47" w:rsidP="00363F63">
      <w:pPr>
        <w:tabs>
          <w:tab w:val="left" w:pos="1473"/>
        </w:tabs>
        <w:rPr>
          <w:rFonts w:ascii="Times New Roman" w:hAnsi="Times New Roman" w:cs="Times New Roman"/>
          <w:sz w:val="20"/>
          <w:szCs w:val="20"/>
          <w:lang w:val="es-ES_tradnl"/>
        </w:rPr>
      </w:pPr>
    </w:p>
    <w:p w:rsidR="0096670B" w:rsidRDefault="0096670B" w:rsidP="00363F63">
      <w:pPr>
        <w:tabs>
          <w:tab w:val="left" w:pos="1473"/>
        </w:tabs>
        <w:rPr>
          <w:rFonts w:ascii="Times New Roman" w:hAnsi="Times New Roman" w:cs="Times New Roman"/>
          <w:sz w:val="20"/>
          <w:szCs w:val="20"/>
          <w:lang w:val="es-ES_tradnl"/>
        </w:rPr>
      </w:pPr>
    </w:p>
    <w:p w:rsidR="00BC6D0B" w:rsidRDefault="0096670B"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795" w:dyaOrig="5372">
          <v:shape id="_x0000_i1025" type="#_x0000_t75" style="width:489.75pt;height:268.5pt" o:ole="">
            <v:imagedata r:id="rId11" o:title=""/>
          </v:shape>
          <o:OLEObject Type="Embed" ProgID="Excel.Sheet.12" ShapeID="_x0000_i1025" DrawAspect="Content" ObjectID="_1586608492" r:id="rId12"/>
        </w:object>
      </w:r>
    </w:p>
    <w:p w:rsidR="00326C47" w:rsidRDefault="00326C47">
      <w:pPr>
        <w:rPr>
          <w:rFonts w:ascii="Times New Roman" w:hAnsi="Times New Roman" w:cs="Times New Roman"/>
          <w:sz w:val="20"/>
          <w:szCs w:val="20"/>
          <w:lang w:val="es-ES_tradnl"/>
        </w:rPr>
      </w:pPr>
      <w:r>
        <w:rPr>
          <w:rFonts w:ascii="Times New Roman" w:hAnsi="Times New Roman" w:cs="Times New Roman"/>
          <w:sz w:val="20"/>
          <w:szCs w:val="20"/>
          <w:lang w:val="es-ES_tradnl"/>
        </w:rPr>
        <w:br w:type="page"/>
      </w:r>
    </w:p>
    <w:p w:rsidR="00A90452" w:rsidRDefault="00C45A8C" w:rsidP="00207FE1">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13730">
          <v:shape id="_x0000_i1026" type="#_x0000_t75" style="width:480.75pt;height:686.25pt" o:ole="">
            <v:imagedata r:id="rId13" o:title=""/>
          </v:shape>
          <o:OLEObject Type="Embed" ProgID="Excel.Sheet.12" ShapeID="_x0000_i1026" DrawAspect="Content" ObjectID="_1586608493"/>
        </w:object>
      </w:r>
    </w:p>
    <w:p w:rsidR="00207FE1" w:rsidRDefault="00C45A8C" w:rsidP="00207FE1">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795" w:dyaOrig="2987">
          <v:shape id="_x0000_i1027" type="#_x0000_t75" style="width:489.75pt;height:149.25pt" o:ole="">
            <v:imagedata r:id="rId15" o:title=""/>
          </v:shape>
          <o:OLEObject Type="Embed" ProgID="Excel.Sheet.12" ShapeID="_x0000_i1027" DrawAspect="Content" ObjectID="_1586608494"/>
        </w:object>
      </w:r>
    </w:p>
    <w:p w:rsidR="00207FE1" w:rsidRPr="0013565A" w:rsidRDefault="00207FE1" w:rsidP="00207FE1">
      <w:pPr>
        <w:numPr>
          <w:ilvl w:val="0"/>
          <w:numId w:val="4"/>
        </w:numPr>
        <w:tabs>
          <w:tab w:val="num" w:pos="567"/>
        </w:tabs>
        <w:spacing w:after="0" w:line="240" w:lineRule="exact"/>
        <w:ind w:left="567" w:hanging="567"/>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b/>
          <w:sz w:val="20"/>
          <w:szCs w:val="20"/>
          <w:lang w:val="es-ES_tradnl"/>
        </w:rPr>
        <w:t>Obligaciones laborales</w:t>
      </w:r>
      <w:r w:rsidRPr="0013565A">
        <w:rPr>
          <w:rFonts w:ascii="Times New Roman" w:eastAsia="Times New Roman" w:hAnsi="Times New Roman" w:cs="Times New Roman"/>
          <w:b/>
          <w:sz w:val="20"/>
          <w:lang w:val="es-ES_tradnl"/>
        </w:rPr>
        <w:t xml:space="preserve"> – </w:t>
      </w: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Por lo que se refiere al reconocimiento de un pasivo o una estimación por beneficios a los empleados, el CONAC emitirá las normas contables y de emisión de información, en virtud de que se deberá analizar, revisar, evaluar y determinar el alcance del impacto en la información financiera.</w:t>
      </w:r>
    </w:p>
    <w:p w:rsidR="00207FE1" w:rsidRPr="0013565A" w:rsidRDefault="00207FE1" w:rsidP="00207FE1">
      <w:pPr>
        <w:spacing w:after="0" w:line="240" w:lineRule="exact"/>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Las obligaciones laborales que incluyen el plan de pensiones y jubilaciones están a cargo del Organismo Público Descentralizado, Pensiones Civiles del Estado de Chihuahua.</w:t>
      </w:r>
    </w:p>
    <w:p w:rsidR="00207FE1"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C4245C" w:rsidRPr="0013565A" w:rsidRDefault="00C42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926164" w:rsidRPr="00926164" w:rsidRDefault="00207FE1" w:rsidP="00207FE1">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Notas al Estado de Actividades</w:t>
      </w:r>
    </w:p>
    <w:p w:rsidR="00207FE1" w:rsidRPr="00207FE1" w:rsidRDefault="00207FE1" w:rsidP="00926164">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 </w:t>
      </w:r>
    </w:p>
    <w:p w:rsidR="00366AEC" w:rsidRDefault="00CD1B85">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812" w:dyaOrig="6826">
          <v:shape id="_x0000_i1034" type="#_x0000_t75" style="width:490.5pt;height:341.25pt" o:ole="">
            <v:imagedata r:id="rId17" o:title=""/>
          </v:shape>
          <o:OLEObject Type="Embed" ProgID="Excel.Sheet.12" ShapeID="_x0000_i1034" DrawAspect="Content" ObjectID="_1586608495"/>
        </w:object>
      </w:r>
    </w:p>
    <w:p w:rsidR="00023AA4" w:rsidRDefault="00023AA4">
      <w:pPr>
        <w:rPr>
          <w:rFonts w:ascii="Times New Roman" w:hAnsi="Times New Roman" w:cs="Times New Roman"/>
          <w:sz w:val="20"/>
          <w:szCs w:val="20"/>
          <w:lang w:val="es-ES_tradnl"/>
        </w:rPr>
      </w:pPr>
    </w:p>
    <w:p w:rsidR="00096B24" w:rsidRDefault="00096B24">
      <w:pPr>
        <w:rPr>
          <w:rFonts w:ascii="Times New Roman" w:hAnsi="Times New Roman" w:cs="Times New Roman"/>
          <w:sz w:val="20"/>
          <w:szCs w:val="20"/>
          <w:lang w:val="es-ES_tradnl"/>
        </w:rPr>
      </w:pPr>
    </w:p>
    <w:p w:rsidR="00A9114C" w:rsidRDefault="00C45A8C"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12396">
          <v:shape id="_x0000_i1028" type="#_x0000_t75" style="width:480.75pt;height:619.5pt" o:ole="">
            <v:imagedata r:id="rId19" o:title=""/>
          </v:shape>
          <o:OLEObject Type="Embed" ProgID="Excel.Sheet.12" ShapeID="_x0000_i1028" DrawAspect="Content" ObjectID="_1586608496"/>
        </w:object>
      </w:r>
    </w:p>
    <w:p w:rsidR="008006D0" w:rsidRDefault="008006D0" w:rsidP="00363F63">
      <w:pPr>
        <w:tabs>
          <w:tab w:val="left" w:pos="1473"/>
        </w:tabs>
        <w:rPr>
          <w:rFonts w:ascii="Times New Roman" w:hAnsi="Times New Roman" w:cs="Times New Roman"/>
          <w:sz w:val="20"/>
          <w:szCs w:val="20"/>
          <w:lang w:val="es-ES_tradnl"/>
        </w:rPr>
      </w:pPr>
    </w:p>
    <w:p w:rsidR="0059057C" w:rsidRDefault="00DC0B39">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4761">
          <v:shape id="_x0000_i1029" type="#_x0000_t75" style="width:480.75pt;height:237.75pt" o:ole="">
            <v:imagedata r:id="rId21" o:title=""/>
          </v:shape>
          <o:OLEObject Type="Embed" ProgID="Excel.Sheet.12" ShapeID="_x0000_i1029" DrawAspect="Content" ObjectID="_1586608497"/>
        </w:object>
      </w: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Pr>
          <w:rFonts w:ascii="Times New Roman" w:eastAsia="Times New Roman" w:hAnsi="Times New Roman" w:cs="Times New Roman"/>
          <w:b/>
          <w:sz w:val="20"/>
          <w:lang w:val="es-ES_tradnl"/>
        </w:rPr>
        <w:t>Notas al Estado de Variación en la Hacienda Publica</w:t>
      </w:r>
    </w:p>
    <w:p w:rsidR="00DC0B39" w:rsidRDefault="00DC0B39">
      <w:pPr>
        <w:rPr>
          <w:rFonts w:ascii="Times New Roman" w:hAnsi="Times New Roman" w:cs="Times New Roman"/>
          <w:sz w:val="20"/>
          <w:szCs w:val="20"/>
          <w:lang w:val="es-ES_tradnl"/>
        </w:rPr>
      </w:pPr>
    </w:p>
    <w:p w:rsidR="00DC0B39" w:rsidRDefault="00DC0B39">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1780">
          <v:shape id="_x0000_i1030" type="#_x0000_t75" style="width:480.75pt;height:89.25pt" o:ole="">
            <v:imagedata r:id="rId23" o:title=""/>
          </v:shape>
          <o:OLEObject Type="Embed" ProgID="Excel.Sheet.12" ShapeID="_x0000_i1030" DrawAspect="Content" ObjectID="_1586608498"/>
        </w:object>
      </w: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sidRPr="002B2971">
        <w:rPr>
          <w:rFonts w:ascii="Times New Roman" w:eastAsia="Times New Roman" w:hAnsi="Times New Roman" w:cs="Times New Roman"/>
          <w:b/>
          <w:sz w:val="20"/>
          <w:lang w:val="es-ES_tradnl"/>
        </w:rPr>
        <w:t>Notas al Estado de Flujos de Efectivo</w:t>
      </w:r>
    </w:p>
    <w:p w:rsidR="0059057C" w:rsidRPr="002B2971" w:rsidRDefault="0059057C" w:rsidP="0059057C">
      <w:pPr>
        <w:spacing w:after="0" w:line="240" w:lineRule="exact"/>
        <w:rPr>
          <w:rFonts w:ascii="Times New Roman" w:eastAsia="Times New Roman" w:hAnsi="Times New Roman" w:cs="Times New Roman"/>
          <w:b/>
          <w:sz w:val="20"/>
          <w:lang w:val="es-ES_tradnl"/>
        </w:rPr>
      </w:pPr>
    </w:p>
    <w:p w:rsidR="006E1F04" w:rsidRDefault="00DC0B39" w:rsidP="00A9114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907">
          <v:shape id="_x0000_i1031" type="#_x0000_t75" style="width:480.75pt;height:45pt" o:ole="">
            <v:imagedata r:id="rId25" o:title=""/>
          </v:shape>
          <o:OLEObject Type="Embed" ProgID="Excel.Sheet.12" ShapeID="_x0000_i1031" DrawAspect="Content" ObjectID="_1586608499"/>
        </w:object>
      </w:r>
    </w:p>
    <w:p w:rsidR="002F56DF" w:rsidRPr="00A9114C" w:rsidRDefault="002F56DF" w:rsidP="00A9114C">
      <w:pPr>
        <w:rPr>
          <w:rFonts w:ascii="Times New Roman" w:hAnsi="Times New Roman" w:cs="Times New Roman"/>
          <w:sz w:val="20"/>
          <w:szCs w:val="20"/>
          <w:lang w:val="es-ES_tradnl"/>
        </w:rPr>
      </w:pPr>
      <w:r w:rsidRPr="002F56DF">
        <w:rPr>
          <w:rFonts w:ascii="Times New Roman" w:eastAsia="Times New Roman" w:hAnsi="Times New Roman" w:cs="Times New Roman"/>
          <w:bCs/>
          <w:sz w:val="20"/>
          <w:szCs w:val="20"/>
          <w:lang w:val="es-ES_tradnl"/>
        </w:rPr>
        <w:t>Conciliación de los Flujos de Efectivo Netos de las Actividades de Operación y de la cuenta de Ahorro/Desahorro antes de Rubros Extraordinarios.</w:t>
      </w:r>
      <w:r w:rsidR="00084305" w:rsidRPr="00084305">
        <w:rPr>
          <w:rFonts w:ascii="Times New Roman" w:hAnsi="Times New Roman" w:cs="Times New Roman"/>
          <w:sz w:val="20"/>
          <w:szCs w:val="20"/>
          <w:lang w:val="es-ES_tradnl"/>
        </w:rPr>
        <w:t xml:space="preserve"> </w:t>
      </w:r>
    </w:p>
    <w:p w:rsidR="00326C47" w:rsidRDefault="00326C47" w:rsidP="00363F63">
      <w:pPr>
        <w:tabs>
          <w:tab w:val="left" w:pos="1473"/>
        </w:tabs>
        <w:rPr>
          <w:rFonts w:ascii="Times New Roman" w:hAnsi="Times New Roman" w:cs="Times New Roman"/>
          <w:sz w:val="20"/>
          <w:szCs w:val="20"/>
          <w:lang w:val="es-ES_tradnl"/>
        </w:rPr>
      </w:pPr>
    </w:p>
    <w:p w:rsidR="009E6EF9" w:rsidRDefault="00DC0B39" w:rsidP="009901C0">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1780">
          <v:shape id="_x0000_i1032" type="#_x0000_t75" style="width:480.75pt;height:89.25pt" o:ole="">
            <v:imagedata r:id="rId27" o:title=""/>
          </v:shape>
          <o:OLEObject Type="Embed" ProgID="Excel.Sheet.12" ShapeID="_x0000_i1032" DrawAspect="Content" ObjectID="_1586608500"/>
        </w:object>
      </w:r>
    </w:p>
    <w:p w:rsidR="009E6EF9" w:rsidRDefault="009E6EF9" w:rsidP="0002762C">
      <w:pPr>
        <w:spacing w:after="0" w:line="240" w:lineRule="exact"/>
        <w:rPr>
          <w:rFonts w:ascii="Times New Roman" w:hAnsi="Times New Roman" w:cs="Times New Roman"/>
          <w:sz w:val="20"/>
          <w:szCs w:val="20"/>
          <w:lang w:val="es-ES_tradnl"/>
        </w:rPr>
      </w:pPr>
    </w:p>
    <w:p w:rsidR="009E6EF9" w:rsidRDefault="009E6EF9" w:rsidP="0002762C">
      <w:pPr>
        <w:spacing w:after="0" w:line="240" w:lineRule="exact"/>
        <w:rPr>
          <w:rFonts w:ascii="Times New Roman" w:hAnsi="Times New Roman" w:cs="Times New Roman"/>
          <w:sz w:val="20"/>
          <w:szCs w:val="20"/>
          <w:lang w:val="es-ES_tradnl"/>
        </w:rPr>
      </w:pPr>
    </w:p>
    <w:p w:rsidR="00DC0B39" w:rsidRDefault="00DC0B39" w:rsidP="0002762C">
      <w:pPr>
        <w:spacing w:after="0" w:line="240" w:lineRule="exact"/>
        <w:rPr>
          <w:rFonts w:ascii="Times New Roman" w:hAnsi="Times New Roman" w:cs="Times New Roman"/>
          <w:sz w:val="20"/>
          <w:szCs w:val="20"/>
          <w:lang w:val="es-ES_tradnl"/>
        </w:rPr>
      </w:pPr>
    </w:p>
    <w:p w:rsidR="00273175" w:rsidRPr="00273175" w:rsidRDefault="00273175" w:rsidP="00273175">
      <w:pPr>
        <w:tabs>
          <w:tab w:val="left" w:pos="1473"/>
        </w:tabs>
        <w:rPr>
          <w:rFonts w:ascii="Times New Roman" w:hAnsi="Times New Roman" w:cs="Times New Roman"/>
          <w:b/>
          <w:sz w:val="20"/>
          <w:szCs w:val="20"/>
          <w:lang w:val="es-ES_tradnl"/>
        </w:rPr>
      </w:pPr>
      <w:r w:rsidRPr="00273175">
        <w:rPr>
          <w:rFonts w:ascii="Times New Roman" w:hAnsi="Times New Roman" w:cs="Times New Roman"/>
          <w:b/>
          <w:sz w:val="20"/>
          <w:szCs w:val="20"/>
          <w:lang w:val="es-ES_tradnl"/>
        </w:rPr>
        <w:lastRenderedPageBreak/>
        <w:t>Notas de Memoria (Cuentas de Orden)</w:t>
      </w:r>
    </w:p>
    <w:p w:rsidR="00576B3E" w:rsidRDefault="00DC0B39" w:rsidP="00B30BAE">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4674">
          <v:shape id="_x0000_i1033" type="#_x0000_t75" style="width:480.75pt;height:234pt" o:ole="">
            <v:imagedata r:id="rId29" o:title=""/>
          </v:shape>
          <o:OLEObject Type="Embed" ProgID="Excel.Sheet.12" ShapeID="_x0000_i1033" DrawAspect="Content" ObjectID="_1586608501"/>
        </w:object>
      </w:r>
    </w:p>
    <w:p w:rsidR="0002762C" w:rsidRDefault="0002762C" w:rsidP="0002762C">
      <w:pPr>
        <w:spacing w:after="0" w:line="240" w:lineRule="exact"/>
        <w:rPr>
          <w:rFonts w:ascii="Times New Roman" w:eastAsia="Times New Roman" w:hAnsi="Times New Roman" w:cs="Times New Roman"/>
          <w:b/>
          <w:sz w:val="20"/>
          <w:lang w:val="es-ES_tradnl"/>
        </w:rPr>
      </w:pPr>
    </w:p>
    <w:p w:rsidR="0002762C" w:rsidRDefault="0002762C" w:rsidP="0002762C">
      <w:pPr>
        <w:spacing w:after="0" w:line="240" w:lineRule="exact"/>
        <w:rPr>
          <w:rFonts w:ascii="Times New Roman" w:eastAsia="Times New Roman" w:hAnsi="Times New Roman" w:cs="Times New Roman"/>
          <w:b/>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Consideraciones fiscales </w:t>
      </w:r>
    </w:p>
    <w:p w:rsidR="002F56DF" w:rsidRPr="0013565A" w:rsidRDefault="002F56DF" w:rsidP="002F56DF">
      <w:pPr>
        <w:spacing w:after="0" w:line="240" w:lineRule="exact"/>
        <w:rPr>
          <w:rFonts w:ascii="Times New Roman" w:eastAsia="Times New Roman" w:hAnsi="Times New Roman" w:cs="Times New Roman"/>
          <w:b/>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De confor</w:t>
      </w:r>
      <w:r>
        <w:rPr>
          <w:rFonts w:ascii="Times New Roman" w:eastAsia="Times New Roman" w:hAnsi="Times New Roman" w:cs="Times New Roman"/>
          <w:sz w:val="20"/>
          <w:szCs w:val="20"/>
          <w:lang w:val="es-ES_tradnl"/>
        </w:rPr>
        <w:t>midad con el artículo 86</w:t>
      </w:r>
      <w:r w:rsidRPr="0013565A">
        <w:rPr>
          <w:rFonts w:ascii="Times New Roman" w:eastAsia="Times New Roman" w:hAnsi="Times New Roman" w:cs="Times New Roman"/>
          <w:sz w:val="20"/>
          <w:szCs w:val="20"/>
          <w:lang w:val="es-ES_tradnl"/>
        </w:rPr>
        <w:t xml:space="preserve"> de la Ley del Impuesto Sobre la Renta, el Estado únicamente tiene la obligación de retener y enterar el Impuesto y exigir la documentación que reúna los requisitos fiscales cuando hagan pagos a terceros y estén obligados a ello en los términos de la Ley.</w:t>
      </w: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p>
    <w:p w:rsidR="002F56DF" w:rsidRPr="0013565A" w:rsidRDefault="002F56DF" w:rsidP="002F56DF">
      <w:pPr>
        <w:numPr>
          <w:ilvl w:val="0"/>
          <w:numId w:val="4"/>
        </w:numPr>
        <w:tabs>
          <w:tab w:val="left" w:pos="567"/>
        </w:tabs>
        <w:spacing w:after="0" w:line="240" w:lineRule="exact"/>
        <w:ind w:hanging="1069"/>
        <w:jc w:val="both"/>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Compromisos</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color w:val="000000"/>
          <w:sz w:val="20"/>
          <w:szCs w:val="20"/>
        </w:rPr>
      </w:pPr>
      <w:r w:rsidRPr="0013565A">
        <w:rPr>
          <w:rFonts w:ascii="Times New Roman" w:eastAsia="Times New Roman" w:hAnsi="Times New Roman" w:cs="Times New Roman"/>
          <w:sz w:val="20"/>
          <w:szCs w:val="20"/>
        </w:rPr>
        <w:t>Con fecha 5 de septiembre de 2011, se celebró el contrato de Fideicomiso Irrevocable Número 80634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w:t>
      </w:r>
      <w:proofErr w:type="spellStart"/>
      <w:r w:rsidRPr="0013565A">
        <w:rPr>
          <w:rFonts w:ascii="Times New Roman" w:eastAsia="Times New Roman" w:hAnsi="Times New Roman" w:cs="Times New Roman"/>
          <w:sz w:val="20"/>
          <w:szCs w:val="20"/>
        </w:rPr>
        <w:t>CBFs</w:t>
      </w:r>
      <w:proofErr w:type="spellEnd"/>
      <w:r w:rsidRPr="0013565A">
        <w:rPr>
          <w:rFonts w:ascii="Times New Roman" w:eastAsia="Times New Roman" w:hAnsi="Times New Roman" w:cs="Times New Roman"/>
          <w:sz w:val="20"/>
          <w:szCs w:val="20"/>
        </w:rPr>
        <w:t>"). El patrimonio del Fideicomiso se integrará por el derecho del 54.09% sobre el 80% de los cobros futuros del Impuesto Sobre Nóminas del Gobierno del Estado de Chihuahua, hasta el año 2026</w:t>
      </w:r>
      <w:r w:rsidRPr="0013565A">
        <w:rPr>
          <w:rFonts w:ascii="Times New Roman" w:eastAsia="Times New Roman" w:hAnsi="Times New Roman" w:cs="Times New Roman"/>
          <w:color w:val="000000"/>
          <w:sz w:val="20"/>
          <w:szCs w:val="20"/>
        </w:rPr>
        <w:t>.</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Con fecha 21 de agosto de 2013, se celebró el contrato de Fideicomiso Irrevocable No. 80672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w:t>
      </w:r>
      <w:proofErr w:type="spellStart"/>
      <w:r w:rsidRPr="0013565A">
        <w:rPr>
          <w:rFonts w:ascii="Times New Roman" w:eastAsia="Times New Roman" w:hAnsi="Times New Roman" w:cs="Times New Roman"/>
          <w:sz w:val="20"/>
          <w:szCs w:val="20"/>
        </w:rPr>
        <w:t>CBFs</w:t>
      </w:r>
      <w:proofErr w:type="spellEnd"/>
      <w:r w:rsidRPr="0013565A">
        <w:rPr>
          <w:rFonts w:ascii="Times New Roman" w:eastAsia="Times New Roman" w:hAnsi="Times New Roman" w:cs="Times New Roman"/>
          <w:sz w:val="20"/>
          <w:szCs w:val="20"/>
        </w:rPr>
        <w:t xml:space="preserve">"). El Patrimonio del Fideicomiso No.80672 se integró principalmente por el producto de la colocación de los certificados bursátiles fiduciarios y los ingresos que se obtengan de la cobranza de las cuotas de peaje, en los términos y condiciones que se establecen en el mismo contrato del Fideicomiso. El Contrato Fideicomiso No. 80672 establece de forma general que a partir de la fecha de inicio de operación del Fideicomiso (siendo esta el 21 de agosto de 2013) recibirá la recaudación de las cuotas de peaje derivadas de la operación y explotación de las casetas Villa Ahumada, Sacramento, Saucillo, Camargo, Jiménez, Ojo Laguna, Cuauhtémoc, </w:t>
      </w:r>
      <w:proofErr w:type="spellStart"/>
      <w:r w:rsidRPr="0013565A">
        <w:rPr>
          <w:rFonts w:ascii="Times New Roman" w:eastAsia="Times New Roman" w:hAnsi="Times New Roman" w:cs="Times New Roman"/>
          <w:sz w:val="20"/>
          <w:szCs w:val="20"/>
        </w:rPr>
        <w:t>Savalza</w:t>
      </w:r>
      <w:proofErr w:type="spellEnd"/>
      <w:r w:rsidRPr="0013565A">
        <w:rPr>
          <w:rFonts w:ascii="Times New Roman" w:eastAsia="Times New Roman" w:hAnsi="Times New Roman" w:cs="Times New Roman"/>
          <w:sz w:val="20"/>
          <w:szCs w:val="20"/>
        </w:rPr>
        <w:t xml:space="preserve"> y Galeana, ubicadas en el Estado de Chihuahua, hasta el año 2038.</w:t>
      </w:r>
    </w:p>
    <w:p w:rsidR="002F56DF" w:rsidRDefault="002F56DF" w:rsidP="002F56DF">
      <w:pPr>
        <w:spacing w:after="0" w:line="240" w:lineRule="exact"/>
        <w:rPr>
          <w:rFonts w:ascii="Times New Roman" w:eastAsia="Times New Roman" w:hAnsi="Times New Roman" w:cs="Times New Roman"/>
          <w:sz w:val="20"/>
          <w:lang w:val="es-ES_tradnl"/>
        </w:rPr>
      </w:pPr>
    </w:p>
    <w:p w:rsidR="009168EE" w:rsidRPr="0013565A" w:rsidRDefault="009168EE" w:rsidP="002F56DF">
      <w:pPr>
        <w:spacing w:after="0" w:line="240" w:lineRule="exact"/>
        <w:rPr>
          <w:rFonts w:ascii="Times New Roman" w:eastAsia="Times New Roman" w:hAnsi="Times New Roman" w:cs="Times New Roman"/>
          <w:sz w:val="20"/>
          <w:lang w:val="es-ES_tradnl"/>
        </w:rPr>
      </w:pPr>
    </w:p>
    <w:p w:rsidR="002F56DF" w:rsidRPr="00297C3D" w:rsidRDefault="002F56DF" w:rsidP="002F56DF">
      <w:pPr>
        <w:numPr>
          <w:ilvl w:val="0"/>
          <w:numId w:val="4"/>
        </w:numPr>
        <w:spacing w:after="0" w:line="240" w:lineRule="exact"/>
        <w:ind w:left="567" w:hanging="567"/>
        <w:rPr>
          <w:rFonts w:ascii="Times New Roman" w:eastAsia="Times New Roman" w:hAnsi="Times New Roman" w:cs="Times New Roman"/>
          <w:b/>
          <w:sz w:val="20"/>
          <w:lang w:val="es-ES_tradnl"/>
        </w:rPr>
      </w:pPr>
      <w:r w:rsidRPr="00297C3D">
        <w:rPr>
          <w:rFonts w:ascii="Times New Roman" w:eastAsia="Times New Roman" w:hAnsi="Times New Roman" w:cs="Times New Roman"/>
          <w:b/>
          <w:sz w:val="20"/>
          <w:lang w:val="es-ES_tradnl"/>
        </w:rPr>
        <w:t>Partes Relacionadas</w:t>
      </w:r>
    </w:p>
    <w:p w:rsidR="002F56DF"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No se tienen partes relacionadas que pudieran ejercer influencia significativa sobre la toma de decisiones financieras y operativas</w:t>
      </w:r>
    </w:p>
    <w:p w:rsidR="002F56DF" w:rsidRPr="00923831"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Autorización de la emisión de los estados financieros</w:t>
      </w:r>
    </w:p>
    <w:p w:rsidR="002F56DF" w:rsidRPr="0013565A" w:rsidRDefault="002F56DF" w:rsidP="002F56DF">
      <w:pPr>
        <w:spacing w:after="0" w:line="240" w:lineRule="exact"/>
        <w:ind w:left="567"/>
        <w:rPr>
          <w:rFonts w:ascii="Times New Roman" w:eastAsia="Times New Roman" w:hAnsi="Times New Roman" w:cs="Times New Roman"/>
          <w:sz w:val="20"/>
          <w:szCs w:val="20"/>
          <w:lang w:val="es-ES_tradnl"/>
        </w:rPr>
      </w:pPr>
    </w:p>
    <w:p w:rsidR="002F56DF" w:rsidRPr="0013565A" w:rsidRDefault="002F56DF" w:rsidP="002F56DF">
      <w:pPr>
        <w:spacing w:after="0" w:line="240" w:lineRule="exact"/>
        <w:ind w:left="567"/>
        <w:rPr>
          <w:rFonts w:ascii="Times New Roman" w:eastAsia="Times New Roman" w:hAnsi="Times New Roman" w:cs="Times New Roman"/>
          <w:sz w:val="20"/>
          <w:lang w:val="es-ES_tradnl"/>
        </w:rPr>
      </w:pPr>
      <w:r w:rsidRPr="0013565A">
        <w:rPr>
          <w:rFonts w:ascii="Times New Roman" w:eastAsia="Times New Roman" w:hAnsi="Times New Roman" w:cs="Times New Roman"/>
          <w:sz w:val="20"/>
          <w:szCs w:val="20"/>
        </w:rPr>
        <w:t>Estos estados financieros fueron autorizad</w:t>
      </w:r>
      <w:r>
        <w:rPr>
          <w:rFonts w:ascii="Times New Roman" w:eastAsia="Times New Roman" w:hAnsi="Times New Roman" w:cs="Times New Roman"/>
          <w:sz w:val="20"/>
          <w:szCs w:val="20"/>
        </w:rPr>
        <w:t xml:space="preserve">os para su emisión </w:t>
      </w:r>
      <w:r w:rsidRPr="00BA184E">
        <w:rPr>
          <w:rFonts w:ascii="Times New Roman" w:eastAsia="Times New Roman" w:hAnsi="Times New Roman" w:cs="Times New Roman"/>
          <w:sz w:val="20"/>
          <w:szCs w:val="20"/>
        </w:rPr>
        <w:t xml:space="preserve">el </w:t>
      </w:r>
      <w:r w:rsidR="00216C7F">
        <w:rPr>
          <w:rFonts w:ascii="Times New Roman" w:eastAsia="Times New Roman" w:hAnsi="Times New Roman" w:cs="Times New Roman"/>
          <w:sz w:val="20"/>
          <w:szCs w:val="20"/>
        </w:rPr>
        <w:t>20</w:t>
      </w:r>
      <w:r w:rsidR="00DC0B39">
        <w:rPr>
          <w:rFonts w:ascii="Times New Roman" w:eastAsia="Times New Roman" w:hAnsi="Times New Roman" w:cs="Times New Roman"/>
          <w:sz w:val="20"/>
          <w:szCs w:val="20"/>
        </w:rPr>
        <w:t xml:space="preserve"> de abril</w:t>
      </w:r>
      <w:r w:rsidR="008A0799">
        <w:rPr>
          <w:rFonts w:ascii="Times New Roman" w:eastAsia="Times New Roman" w:hAnsi="Times New Roman" w:cs="Times New Roman"/>
          <w:sz w:val="20"/>
          <w:szCs w:val="20"/>
        </w:rPr>
        <w:t xml:space="preserve"> de 2018</w:t>
      </w:r>
      <w:r w:rsidRPr="00BA184E">
        <w:rPr>
          <w:rFonts w:ascii="Times New Roman" w:eastAsia="Times New Roman" w:hAnsi="Times New Roman" w:cs="Times New Roman"/>
          <w:sz w:val="20"/>
          <w:szCs w:val="20"/>
        </w:rPr>
        <w:t xml:space="preserve"> por</w:t>
      </w:r>
      <w:r w:rsidRPr="0013565A">
        <w:rPr>
          <w:rFonts w:ascii="Times New Roman" w:eastAsia="Times New Roman" w:hAnsi="Times New Roman" w:cs="Times New Roman"/>
          <w:sz w:val="20"/>
          <w:szCs w:val="20"/>
        </w:rPr>
        <w:t xml:space="preserve"> el Lic. </w:t>
      </w:r>
      <w:r>
        <w:rPr>
          <w:rFonts w:ascii="Times New Roman" w:eastAsia="Times New Roman" w:hAnsi="Times New Roman" w:cs="Times New Roman"/>
          <w:sz w:val="20"/>
          <w:szCs w:val="20"/>
        </w:rPr>
        <w:t>Javier Corral Jurado</w:t>
      </w:r>
      <w:r w:rsidRPr="0013565A">
        <w:rPr>
          <w:rFonts w:ascii="Times New Roman" w:eastAsia="Times New Roman" w:hAnsi="Times New Roman" w:cs="Times New Roman"/>
          <w:sz w:val="20"/>
          <w:szCs w:val="20"/>
        </w:rPr>
        <w:t xml:space="preserve">, Gobernador Constitucional del </w:t>
      </w:r>
      <w:r>
        <w:rPr>
          <w:rFonts w:ascii="Times New Roman" w:eastAsia="Times New Roman" w:hAnsi="Times New Roman" w:cs="Times New Roman"/>
          <w:sz w:val="20"/>
          <w:szCs w:val="20"/>
        </w:rPr>
        <w:t>Estado de Chihuahua y por el Dr</w:t>
      </w:r>
      <w:r w:rsidRPr="001356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Arturo Fuentes Vélez</w:t>
      </w:r>
      <w:r w:rsidRPr="0013565A">
        <w:rPr>
          <w:rFonts w:ascii="Times New Roman" w:eastAsia="Times New Roman" w:hAnsi="Times New Roman" w:cs="Times New Roman"/>
          <w:sz w:val="20"/>
          <w:szCs w:val="20"/>
        </w:rPr>
        <w:t xml:space="preserve">, Secretario de Hacienda del Estado de Chihuahua y están sujetos a aprobación por el H. Congreso del Estado de Chihuahua </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Bajo protesta decir verdad declaramos que los Estados Financieros y sus notas, son razonablemente correctos y son responsabilidad del emisor.</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tbl>
      <w:tblPr>
        <w:tblW w:w="8436" w:type="dxa"/>
        <w:tblLayout w:type="fixed"/>
        <w:tblCellMar>
          <w:left w:w="70" w:type="dxa"/>
          <w:right w:w="70" w:type="dxa"/>
        </w:tblCellMar>
        <w:tblLook w:val="0000" w:firstRow="0" w:lastRow="0" w:firstColumn="0" w:lastColumn="0" w:noHBand="0" w:noVBand="0"/>
      </w:tblPr>
      <w:tblGrid>
        <w:gridCol w:w="823"/>
        <w:gridCol w:w="4024"/>
        <w:gridCol w:w="169"/>
        <w:gridCol w:w="3420"/>
      </w:tblGrid>
      <w:tr w:rsidR="002F56DF" w:rsidRPr="0013565A" w:rsidTr="00BC1F4A">
        <w:trPr>
          <w:cantSplit/>
          <w:trHeight w:val="1095"/>
        </w:trPr>
        <w:tc>
          <w:tcPr>
            <w:tcW w:w="823"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4024"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C.P.</w:t>
            </w:r>
            <w:r>
              <w:rPr>
                <w:rFonts w:ascii="Times New Roman" w:eastAsia="Times New Roman" w:hAnsi="Times New Roman" w:cs="Times New Roman"/>
                <w:sz w:val="20"/>
                <w:lang w:val="es-ES_tradnl"/>
              </w:rPr>
              <w:t xml:space="preserve"> Oscar Ruiz Suarez</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 xml:space="preserve">Director de Contabilidad Gubernamental </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c>
          <w:tcPr>
            <w:tcW w:w="169"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3420"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C.P. Manuel José Navarro Baca</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 xml:space="preserve">Jefe del Departamento </w:t>
            </w:r>
            <w:r w:rsidRPr="0013565A">
              <w:rPr>
                <w:rFonts w:ascii="Times New Roman" w:eastAsia="Times New Roman" w:hAnsi="Times New Roman" w:cs="Times New Roman"/>
                <w:sz w:val="20"/>
                <w:lang w:val="es-ES_tradnl"/>
              </w:rPr>
              <w:t xml:space="preserve">de </w:t>
            </w:r>
            <w:r>
              <w:rPr>
                <w:rFonts w:ascii="Times New Roman" w:eastAsia="Times New Roman" w:hAnsi="Times New Roman" w:cs="Times New Roman"/>
                <w:sz w:val="20"/>
                <w:lang w:val="es-ES_tradnl"/>
              </w:rPr>
              <w:t>Información Contable</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r>
    </w:tbl>
    <w:p w:rsidR="002F56DF" w:rsidRPr="002F56DF" w:rsidRDefault="002F56DF" w:rsidP="00363F63">
      <w:pPr>
        <w:tabs>
          <w:tab w:val="left" w:pos="1473"/>
        </w:tabs>
        <w:rPr>
          <w:rFonts w:ascii="Times New Roman" w:hAnsi="Times New Roman" w:cs="Times New Roman"/>
          <w:sz w:val="20"/>
          <w:szCs w:val="20"/>
        </w:rPr>
      </w:pPr>
    </w:p>
    <w:sectPr w:rsidR="002F56DF" w:rsidRPr="002F56DF" w:rsidSect="001C6B87">
      <w:footerReference w:type="default" r:id="rId3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C4" w:rsidRDefault="007304C4" w:rsidP="00363F63">
      <w:pPr>
        <w:spacing w:after="0" w:line="240" w:lineRule="auto"/>
      </w:pPr>
      <w:r>
        <w:separator/>
      </w:r>
    </w:p>
  </w:endnote>
  <w:endnote w:type="continuationSeparator" w:id="0">
    <w:p w:rsidR="007304C4" w:rsidRDefault="007304C4" w:rsidP="003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8059"/>
      <w:docPartObj>
        <w:docPartGallery w:val="Page Numbers (Bottom of Page)"/>
        <w:docPartUnique/>
      </w:docPartObj>
    </w:sdtPr>
    <w:sdtEndPr/>
    <w:sdtContent>
      <w:p w:rsidR="00926164" w:rsidRDefault="00926164">
        <w:pPr>
          <w:pStyle w:val="Piedepgina"/>
          <w:jc w:val="right"/>
        </w:pPr>
        <w:r>
          <w:fldChar w:fldCharType="begin"/>
        </w:r>
        <w:r>
          <w:instrText>PAGE   \* MERGEFORMAT</w:instrText>
        </w:r>
        <w:r>
          <w:fldChar w:fldCharType="separate"/>
        </w:r>
        <w:r w:rsidR="00CD1B85" w:rsidRPr="00CD1B85">
          <w:rPr>
            <w:noProof/>
            <w:lang w:val="es-ES"/>
          </w:rPr>
          <w:t>2</w:t>
        </w:r>
        <w:r>
          <w:fldChar w:fldCharType="end"/>
        </w:r>
      </w:p>
    </w:sdtContent>
  </w:sdt>
  <w:p w:rsidR="00926164" w:rsidRDefault="00926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C4" w:rsidRDefault="007304C4" w:rsidP="00363F63">
      <w:pPr>
        <w:spacing w:after="0" w:line="240" w:lineRule="auto"/>
      </w:pPr>
      <w:r>
        <w:separator/>
      </w:r>
    </w:p>
  </w:footnote>
  <w:footnote w:type="continuationSeparator" w:id="0">
    <w:p w:rsidR="007304C4" w:rsidRDefault="007304C4" w:rsidP="0036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6C"/>
    <w:multiLevelType w:val="hybridMultilevel"/>
    <w:tmpl w:val="41E444C6"/>
    <w:lvl w:ilvl="0" w:tplc="0C0A000F">
      <w:start w:val="1"/>
      <w:numFmt w:val="decimal"/>
      <w:lvlText w:val="%1."/>
      <w:lvlJc w:val="left"/>
      <w:pPr>
        <w:tabs>
          <w:tab w:val="num" w:pos="720"/>
        </w:tabs>
        <w:ind w:left="720" w:hanging="360"/>
      </w:pPr>
    </w:lvl>
    <w:lvl w:ilvl="1" w:tplc="B2E6922E">
      <w:start w:val="1"/>
      <w:numFmt w:val="lowerLetter"/>
      <w:lvlText w:val="%2."/>
      <w:lvlJc w:val="left"/>
      <w:pPr>
        <w:tabs>
          <w:tab w:val="num" w:pos="1440"/>
        </w:tabs>
        <w:ind w:left="1440" w:hanging="360"/>
      </w:pPr>
      <w:rPr>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214066"/>
    <w:multiLevelType w:val="hybridMultilevel"/>
    <w:tmpl w:val="B1AED010"/>
    <w:lvl w:ilvl="0" w:tplc="E65622AC">
      <w:start w:val="3"/>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25B68"/>
    <w:multiLevelType w:val="hybridMultilevel"/>
    <w:tmpl w:val="453EEE90"/>
    <w:lvl w:ilvl="0" w:tplc="E6CCC65E">
      <w:start w:val="1"/>
      <w:numFmt w:val="lowerLetter"/>
      <w:lvlText w:val="%1."/>
      <w:lvlJc w:val="left"/>
      <w:pPr>
        <w:tabs>
          <w:tab w:val="num" w:pos="851"/>
        </w:tabs>
        <w:ind w:left="851" w:hanging="426"/>
      </w:pPr>
      <w:rPr>
        <w:rFonts w:ascii="Times New Roman" w:hAnsi="Times New Roman" w:cs="Times New Roman" w:hint="default"/>
        <w:b w:val="0"/>
        <w:i w:val="0"/>
        <w:sz w:val="20"/>
      </w:rPr>
    </w:lvl>
    <w:lvl w:ilvl="1" w:tplc="D0167CF8">
      <w:start w:val="1"/>
      <w:numFmt w:val="lowerLetter"/>
      <w:lvlText w:val="%2."/>
      <w:lvlJc w:val="left"/>
      <w:pPr>
        <w:tabs>
          <w:tab w:val="num" w:pos="851"/>
        </w:tabs>
        <w:ind w:left="851" w:hanging="426"/>
      </w:pPr>
      <w:rPr>
        <w:rFonts w:cs="Times New Roman" w:hint="default"/>
        <w:b w:val="0"/>
        <w:i w:val="0"/>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C9A2F6D"/>
    <w:multiLevelType w:val="hybridMultilevel"/>
    <w:tmpl w:val="B76C4FC8"/>
    <w:lvl w:ilvl="0" w:tplc="9B1273A2">
      <w:start w:val="1"/>
      <w:numFmt w:val="lowerLetter"/>
      <w:lvlText w:val="%1."/>
      <w:lvlJc w:val="left"/>
      <w:pPr>
        <w:ind w:left="927" w:hanging="360"/>
      </w:pPr>
      <w:rPr>
        <w:b w:val="0"/>
        <w:i w:val="0"/>
        <w:sz w:val="20"/>
        <w:szCs w:val="20"/>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4">
    <w:nsid w:val="6FBC5310"/>
    <w:multiLevelType w:val="hybridMultilevel"/>
    <w:tmpl w:val="A4B4092A"/>
    <w:lvl w:ilvl="0" w:tplc="70E6CC1C">
      <w:start w:val="3"/>
      <w:numFmt w:val="decimal"/>
      <w:lvlText w:val="%1."/>
      <w:lvlJc w:val="left"/>
      <w:pPr>
        <w:tabs>
          <w:tab w:val="num" w:pos="1069"/>
        </w:tabs>
        <w:ind w:left="1069" w:hanging="360"/>
      </w:pPr>
      <w:rPr>
        <w:rFonts w:hint="default"/>
        <w:b/>
        <w:i w:val="0"/>
      </w:rPr>
    </w:lvl>
    <w:lvl w:ilvl="1" w:tplc="47A26CF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125CD7"/>
    <w:multiLevelType w:val="hybridMultilevel"/>
    <w:tmpl w:val="E98C2A7E"/>
    <w:lvl w:ilvl="0" w:tplc="7E60AC8C">
      <w:start w:val="1"/>
      <w:numFmt w:val="decimal"/>
      <w:lvlText w:val="%1."/>
      <w:lvlJc w:val="left"/>
      <w:pPr>
        <w:tabs>
          <w:tab w:val="num" w:pos="425"/>
        </w:tabs>
        <w:ind w:left="425" w:hanging="425"/>
      </w:pPr>
      <w:rPr>
        <w:rFonts w:ascii="Times New Roman Bold" w:hAnsi="Times New Roman Bold" w:cs="Times New Roman" w:hint="default"/>
        <w:b/>
        <w:i w:val="0"/>
        <w:sz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88"/>
    <w:rsid w:val="00023AA4"/>
    <w:rsid w:val="0002762C"/>
    <w:rsid w:val="00036401"/>
    <w:rsid w:val="00084305"/>
    <w:rsid w:val="00096B24"/>
    <w:rsid w:val="001158E9"/>
    <w:rsid w:val="001653AA"/>
    <w:rsid w:val="00185FED"/>
    <w:rsid w:val="001C6B87"/>
    <w:rsid w:val="001D57C3"/>
    <w:rsid w:val="00207FE1"/>
    <w:rsid w:val="00216C7F"/>
    <w:rsid w:val="00267371"/>
    <w:rsid w:val="00273175"/>
    <w:rsid w:val="002F56DF"/>
    <w:rsid w:val="003045A1"/>
    <w:rsid w:val="00326C47"/>
    <w:rsid w:val="00335D4E"/>
    <w:rsid w:val="00363F63"/>
    <w:rsid w:val="00366AEC"/>
    <w:rsid w:val="00367AAC"/>
    <w:rsid w:val="0039238E"/>
    <w:rsid w:val="003A1303"/>
    <w:rsid w:val="003B7515"/>
    <w:rsid w:val="004A140B"/>
    <w:rsid w:val="004B18C2"/>
    <w:rsid w:val="004E25E2"/>
    <w:rsid w:val="00521546"/>
    <w:rsid w:val="00576B3E"/>
    <w:rsid w:val="0059057C"/>
    <w:rsid w:val="005B6A8E"/>
    <w:rsid w:val="005F5E72"/>
    <w:rsid w:val="006237BF"/>
    <w:rsid w:val="00693D88"/>
    <w:rsid w:val="006C3A50"/>
    <w:rsid w:val="006E1F04"/>
    <w:rsid w:val="006F447B"/>
    <w:rsid w:val="007304C4"/>
    <w:rsid w:val="008006D0"/>
    <w:rsid w:val="00805D89"/>
    <w:rsid w:val="008A0799"/>
    <w:rsid w:val="009168EE"/>
    <w:rsid w:val="00920835"/>
    <w:rsid w:val="00926164"/>
    <w:rsid w:val="0096670B"/>
    <w:rsid w:val="009901C0"/>
    <w:rsid w:val="009E37FD"/>
    <w:rsid w:val="009E6180"/>
    <w:rsid w:val="009E6EF9"/>
    <w:rsid w:val="00A47C3C"/>
    <w:rsid w:val="00A90452"/>
    <w:rsid w:val="00A9114C"/>
    <w:rsid w:val="00A957D6"/>
    <w:rsid w:val="00B04ED2"/>
    <w:rsid w:val="00B30BAE"/>
    <w:rsid w:val="00B57E9A"/>
    <w:rsid w:val="00BC1F4A"/>
    <w:rsid w:val="00BC6D0B"/>
    <w:rsid w:val="00BD312D"/>
    <w:rsid w:val="00BD56D8"/>
    <w:rsid w:val="00C11188"/>
    <w:rsid w:val="00C119FC"/>
    <w:rsid w:val="00C34233"/>
    <w:rsid w:val="00C4245C"/>
    <w:rsid w:val="00C45A8C"/>
    <w:rsid w:val="00C6171D"/>
    <w:rsid w:val="00C76286"/>
    <w:rsid w:val="00C86865"/>
    <w:rsid w:val="00CB36BF"/>
    <w:rsid w:val="00CD1B85"/>
    <w:rsid w:val="00DA650D"/>
    <w:rsid w:val="00DC0B39"/>
    <w:rsid w:val="00E275BE"/>
    <w:rsid w:val="00E34FF0"/>
    <w:rsid w:val="00E526F3"/>
    <w:rsid w:val="00E813BB"/>
    <w:rsid w:val="00E86E69"/>
    <w:rsid w:val="00EC63F8"/>
    <w:rsid w:val="00ED0C44"/>
    <w:rsid w:val="00EE0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345">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749615942">
      <w:bodyDiv w:val="1"/>
      <w:marLeft w:val="0"/>
      <w:marRight w:val="0"/>
      <w:marTop w:val="0"/>
      <w:marBottom w:val="0"/>
      <w:divBdr>
        <w:top w:val="none" w:sz="0" w:space="0" w:color="auto"/>
        <w:left w:val="none" w:sz="0" w:space="0" w:color="auto"/>
        <w:bottom w:val="none" w:sz="0" w:space="0" w:color="auto"/>
        <w:right w:val="none" w:sz="0" w:space="0" w:color="auto"/>
      </w:divBdr>
    </w:div>
    <w:div w:id="956303127">
      <w:bodyDiv w:val="1"/>
      <w:marLeft w:val="0"/>
      <w:marRight w:val="0"/>
      <w:marTop w:val="0"/>
      <w:marBottom w:val="0"/>
      <w:divBdr>
        <w:top w:val="none" w:sz="0" w:space="0" w:color="auto"/>
        <w:left w:val="none" w:sz="0" w:space="0" w:color="auto"/>
        <w:bottom w:val="none" w:sz="0" w:space="0" w:color="auto"/>
        <w:right w:val="none" w:sz="0" w:space="0" w:color="auto"/>
      </w:divBdr>
    </w:div>
    <w:div w:id="1128400056">
      <w:bodyDiv w:val="1"/>
      <w:marLeft w:val="0"/>
      <w:marRight w:val="0"/>
      <w:marTop w:val="0"/>
      <w:marBottom w:val="0"/>
      <w:divBdr>
        <w:top w:val="none" w:sz="0" w:space="0" w:color="auto"/>
        <w:left w:val="none" w:sz="0" w:space="0" w:color="auto"/>
        <w:bottom w:val="none" w:sz="0" w:space="0" w:color="auto"/>
        <w:right w:val="none" w:sz="0" w:space="0" w:color="auto"/>
      </w:divBdr>
    </w:div>
    <w:div w:id="1468163462">
      <w:bodyDiv w:val="1"/>
      <w:marLeft w:val="0"/>
      <w:marRight w:val="0"/>
      <w:marTop w:val="0"/>
      <w:marBottom w:val="0"/>
      <w:divBdr>
        <w:top w:val="none" w:sz="0" w:space="0" w:color="auto"/>
        <w:left w:val="none" w:sz="0" w:space="0" w:color="auto"/>
        <w:bottom w:val="none" w:sz="0" w:space="0" w:color="auto"/>
        <w:right w:val="none" w:sz="0" w:space="0" w:color="auto"/>
      </w:divBdr>
    </w:div>
    <w:div w:id="2128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27"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2195-C823-4963-87F3-50AAAF45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2471</Words>
  <Characters>13594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José Navarro Baca</dc:creator>
  <cp:lastModifiedBy>Manuel José Navarro Baca</cp:lastModifiedBy>
  <cp:revision>3</cp:revision>
  <cp:lastPrinted>2018-04-30T21:21:00Z</cp:lastPrinted>
  <dcterms:created xsi:type="dcterms:W3CDTF">2018-04-30T21:21:00Z</dcterms:created>
  <dcterms:modified xsi:type="dcterms:W3CDTF">2018-04-30T21:48:00Z</dcterms:modified>
</cp:coreProperties>
</file>